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72" w:rsidRDefault="00C06C6A" w:rsidP="00C06C6A">
      <w:pPr>
        <w:jc w:val="center"/>
      </w:pPr>
      <w:r>
        <w:rPr>
          <w:rFonts w:ascii="Times New Roman" w:hAnsi="Times New Roman"/>
          <w:noProof/>
          <w:sz w:val="24"/>
          <w:szCs w:val="24"/>
        </w:rPr>
        <w:drawing>
          <wp:inline distT="0" distB="0" distL="0" distR="0">
            <wp:extent cx="5448300" cy="1038225"/>
            <wp:effectExtent l="0" t="0" r="0" b="9525"/>
            <wp:docPr id="1" name="Picture 1" descr="cid:image001.jpg@01CF6950.C83BB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6950.C83BB4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48300" cy="1038225"/>
                    </a:xfrm>
                    <a:prstGeom prst="rect">
                      <a:avLst/>
                    </a:prstGeom>
                    <a:noFill/>
                    <a:ln>
                      <a:noFill/>
                    </a:ln>
                  </pic:spPr>
                </pic:pic>
              </a:graphicData>
            </a:graphic>
          </wp:inline>
        </w:drawing>
      </w:r>
    </w:p>
    <w:p w:rsidR="00C91562" w:rsidRDefault="00C91562" w:rsidP="00C91562">
      <w:pPr>
        <w:spacing w:after="120" w:line="240" w:lineRule="auto"/>
        <w:jc w:val="center"/>
        <w:rPr>
          <w:rFonts w:ascii="Helvetica" w:eastAsia="Times New Roman" w:hAnsi="Helvetica" w:cs="Helvetica"/>
          <w:b/>
          <w:bCs/>
          <w:color w:val="444444"/>
          <w:sz w:val="21"/>
          <w:szCs w:val="21"/>
          <w:u w:val="single"/>
        </w:rPr>
      </w:pPr>
      <w:r w:rsidRPr="00F66670">
        <w:rPr>
          <w:b/>
          <w:sz w:val="28"/>
          <w:szCs w:val="28"/>
        </w:rPr>
        <w:t>Ju</w:t>
      </w:r>
      <w:r>
        <w:rPr>
          <w:b/>
          <w:sz w:val="28"/>
          <w:szCs w:val="28"/>
        </w:rPr>
        <w:t>ly</w:t>
      </w:r>
      <w:r w:rsidRPr="00F66670">
        <w:rPr>
          <w:b/>
          <w:sz w:val="28"/>
          <w:szCs w:val="28"/>
        </w:rPr>
        <w:t xml:space="preserve"> 2014 Education Law Alert</w:t>
      </w:r>
    </w:p>
    <w:p w:rsidR="00C91562" w:rsidRPr="00C91562" w:rsidRDefault="00C91562" w:rsidP="00C91562">
      <w:pPr>
        <w:spacing w:after="120" w:line="240" w:lineRule="auto"/>
        <w:jc w:val="center"/>
        <w:rPr>
          <w:rFonts w:ascii="Helvetica" w:eastAsia="Times New Roman" w:hAnsi="Helvetica" w:cs="Helvetica"/>
          <w:color w:val="444444"/>
          <w:sz w:val="21"/>
          <w:szCs w:val="21"/>
        </w:rPr>
      </w:pPr>
      <w:r w:rsidRPr="00C91562">
        <w:rPr>
          <w:rFonts w:ascii="Helvetica" w:eastAsia="Times New Roman" w:hAnsi="Helvetica" w:cs="Helvetica"/>
          <w:b/>
          <w:bCs/>
          <w:color w:val="444444"/>
          <w:sz w:val="21"/>
          <w:szCs w:val="21"/>
          <w:u w:val="single"/>
        </w:rPr>
        <w:t xml:space="preserve">Fifth Circuit Upholds the University of Texas’s Affirmative Action </w:t>
      </w:r>
      <w:r>
        <w:rPr>
          <w:rFonts w:ascii="Helvetica" w:eastAsia="Times New Roman" w:hAnsi="Helvetica" w:cs="Helvetica"/>
          <w:b/>
          <w:bCs/>
          <w:color w:val="444444"/>
          <w:sz w:val="21"/>
          <w:szCs w:val="21"/>
          <w:u w:val="single"/>
        </w:rPr>
        <w:br/>
      </w:r>
      <w:r w:rsidRPr="00C91562">
        <w:rPr>
          <w:rFonts w:ascii="Helvetica" w:eastAsia="Times New Roman" w:hAnsi="Helvetica" w:cs="Helvetica"/>
          <w:b/>
          <w:bCs/>
          <w:color w:val="444444"/>
          <w:sz w:val="21"/>
          <w:szCs w:val="21"/>
          <w:u w:val="single"/>
        </w:rPr>
        <w:t>Plan on Remand from the U.S. Supreme Court</w:t>
      </w:r>
    </w:p>
    <w:p w:rsidR="00C91562" w:rsidRDefault="00C91562" w:rsidP="00C91562">
      <w:pPr>
        <w:spacing w:after="120" w:line="240" w:lineRule="auto"/>
        <w:jc w:val="both"/>
        <w:rPr>
          <w:rFonts w:ascii="Helvetica" w:eastAsia="Times New Roman" w:hAnsi="Helvetica" w:cs="Helvetica"/>
          <w:color w:val="444444"/>
          <w:sz w:val="21"/>
          <w:szCs w:val="21"/>
        </w:rPr>
      </w:pPr>
      <w:r w:rsidRPr="00C91562">
        <w:rPr>
          <w:rFonts w:ascii="Helvetica" w:eastAsia="Times New Roman" w:hAnsi="Helvetica" w:cs="Helvetica"/>
          <w:color w:val="444444"/>
          <w:sz w:val="21"/>
          <w:szCs w:val="21"/>
        </w:rPr>
        <w:t xml:space="preserve">Past editions of the </w:t>
      </w:r>
      <w:r w:rsidRPr="00C91562">
        <w:rPr>
          <w:rFonts w:ascii="Helvetica" w:eastAsia="Times New Roman" w:hAnsi="Helvetica" w:cs="Helvetica"/>
          <w:i/>
          <w:iCs/>
          <w:color w:val="444444"/>
          <w:sz w:val="21"/>
          <w:szCs w:val="21"/>
        </w:rPr>
        <w:t>Education Law Alert</w:t>
      </w:r>
      <w:r w:rsidRPr="00C91562">
        <w:rPr>
          <w:rFonts w:ascii="Helvetica" w:eastAsia="Times New Roman" w:hAnsi="Helvetica" w:cs="Helvetica"/>
          <w:color w:val="444444"/>
          <w:sz w:val="21"/>
          <w:szCs w:val="21"/>
        </w:rPr>
        <w:t xml:space="preserve"> have highlighted the affirmative action battle concerning the University of Texas’s admissions policy that has been raging in federal courts for years now. After a trip through a federal district court in Texas, the Fifth Circuit Court of Appeals, the Supreme Court, and then back to the appellate court on remand, the controversial affirmative action plan has been upheld again as constitutional by the Fifth Circuit.</w:t>
      </w:r>
    </w:p>
    <w:p w:rsidR="00C91562" w:rsidRDefault="00C91562" w:rsidP="00C91562">
      <w:pPr>
        <w:spacing w:after="120" w:line="240" w:lineRule="auto"/>
        <w:jc w:val="both"/>
        <w:rPr>
          <w:rFonts w:ascii="Helvetica" w:eastAsia="Times New Roman" w:hAnsi="Helvetica" w:cs="Helvetica"/>
          <w:color w:val="444444"/>
          <w:sz w:val="21"/>
          <w:szCs w:val="21"/>
        </w:rPr>
      </w:pPr>
      <w:r w:rsidRPr="00C91562">
        <w:rPr>
          <w:rFonts w:ascii="Helvetica" w:eastAsia="Times New Roman" w:hAnsi="Helvetica" w:cs="Helvetica"/>
          <w:color w:val="444444"/>
          <w:sz w:val="21"/>
          <w:szCs w:val="21"/>
        </w:rPr>
        <w:t xml:space="preserve">Abigail Fisher, a Caucasian female, filed suit against the University of Texas after she was denied admission to the University.  The University uses a holistic review process that takes race into account as a factor that influences its admissions decisions and also has a policy whereby it automatically admits students in the top ten percent of their high school class. Fisher contended that the University’s admissions process and considerations of race have unfairly favored African-American and Hispanic students in admissions and that this was a violation of the Constitution.  Fisher’s original Complaint, filed in Western District of Texas, is available at the following link: </w:t>
      </w:r>
      <w:hyperlink r:id="rId7" w:history="1">
        <w:r w:rsidRPr="00C91562">
          <w:rPr>
            <w:rFonts w:ascii="Helvetica" w:eastAsia="Times New Roman" w:hAnsi="Helvetica" w:cs="Helvetica"/>
            <w:color w:val="21759B"/>
            <w:sz w:val="21"/>
            <w:szCs w:val="21"/>
          </w:rPr>
          <w:t>Complaint</w:t>
        </w:r>
      </w:hyperlink>
      <w:r w:rsidRPr="00C91562">
        <w:rPr>
          <w:rFonts w:ascii="Helvetica" w:eastAsia="Times New Roman" w:hAnsi="Helvetica" w:cs="Helvetica"/>
          <w:color w:val="444444"/>
          <w:sz w:val="21"/>
          <w:szCs w:val="21"/>
        </w:rPr>
        <w:t>.</w:t>
      </w:r>
    </w:p>
    <w:p w:rsidR="00C91562" w:rsidRPr="00C91562" w:rsidRDefault="00C91562" w:rsidP="00C91562">
      <w:pPr>
        <w:spacing w:after="120" w:line="240" w:lineRule="auto"/>
        <w:jc w:val="both"/>
        <w:rPr>
          <w:rFonts w:ascii="Helvetica" w:eastAsia="Times New Roman" w:hAnsi="Helvetica" w:cs="Helvetica"/>
          <w:color w:val="444444"/>
          <w:sz w:val="21"/>
          <w:szCs w:val="21"/>
        </w:rPr>
      </w:pPr>
      <w:r w:rsidRPr="00C91562">
        <w:rPr>
          <w:rFonts w:ascii="Helvetica" w:eastAsia="Times New Roman" w:hAnsi="Helvetica" w:cs="Helvetica"/>
          <w:color w:val="444444"/>
          <w:sz w:val="21"/>
          <w:szCs w:val="21"/>
        </w:rPr>
        <w:t xml:space="preserve">The case ultimately made its way on appeal to the Supreme Court after the Fifth Circuit upheld the University’s admissions practices. The Supreme Court was tasked with determining whether its “decisions interpreting the Equal Protection Clause of the Fourteenth Amendment, including </w:t>
      </w:r>
      <w:proofErr w:type="spellStart"/>
      <w:r w:rsidRPr="00C91562">
        <w:rPr>
          <w:rFonts w:ascii="Helvetica" w:eastAsia="Times New Roman" w:hAnsi="Helvetica" w:cs="Helvetica"/>
          <w:color w:val="444444"/>
          <w:sz w:val="21"/>
          <w:szCs w:val="21"/>
        </w:rPr>
        <w:t>Grutter</w:t>
      </w:r>
      <w:proofErr w:type="spellEnd"/>
      <w:r w:rsidRPr="00C91562">
        <w:rPr>
          <w:rFonts w:ascii="Helvetica" w:eastAsia="Times New Roman" w:hAnsi="Helvetica" w:cs="Helvetica"/>
          <w:color w:val="444444"/>
          <w:sz w:val="21"/>
          <w:szCs w:val="21"/>
        </w:rPr>
        <w:t xml:space="preserve"> v. Bollinger, 539 U.S. 306 (2003), permit the University of Texas at Austin’s use of race in undergraduate admissions decisions.”  The Court issued its decision in Fisher v. Univ. of Texas at Austin, et al. (Case No. 11-345), last summer and, while it did not invalidate race-based admissions practices, it did hold that the Fifth Circuit did not apply the correct strict scrutiny standard when it reviewed and upheld the University’s race-based admission practices. Instead, the Fifth Circuit initially gave deference to the University of Texas and presumed its race-based admissions practices were made in good faith. This improperly required Fisher to essentially rebut that presumption. Thus, the Fifth Circuit’s opinion was vacated and remanded. The Supreme Court’s opinion is available at the following link: </w:t>
      </w:r>
      <w:hyperlink r:id="rId8" w:history="1">
        <w:r w:rsidRPr="00C91562">
          <w:rPr>
            <w:rFonts w:ascii="Helvetica" w:eastAsia="Times New Roman" w:hAnsi="Helvetica" w:cs="Helvetica"/>
            <w:color w:val="21759B"/>
            <w:sz w:val="21"/>
            <w:szCs w:val="21"/>
          </w:rPr>
          <w:t>Supreme Court Opinion</w:t>
        </w:r>
      </w:hyperlink>
      <w:r w:rsidRPr="00C91562">
        <w:rPr>
          <w:rFonts w:ascii="Helvetica" w:eastAsia="Times New Roman" w:hAnsi="Helvetica" w:cs="Helvetica"/>
          <w:color w:val="444444"/>
          <w:sz w:val="21"/>
          <w:szCs w:val="21"/>
        </w:rPr>
        <w:t>.</w:t>
      </w:r>
    </w:p>
    <w:p w:rsidR="00C91562" w:rsidRPr="00C91562" w:rsidRDefault="00C91562" w:rsidP="00C91562">
      <w:pPr>
        <w:spacing w:after="120" w:line="240" w:lineRule="auto"/>
        <w:jc w:val="both"/>
        <w:rPr>
          <w:rFonts w:ascii="Helvetica" w:eastAsia="Times New Roman" w:hAnsi="Helvetica" w:cs="Helvetica"/>
          <w:color w:val="444444"/>
          <w:sz w:val="21"/>
          <w:szCs w:val="21"/>
        </w:rPr>
      </w:pPr>
      <w:r w:rsidRPr="00C91562">
        <w:rPr>
          <w:rFonts w:ascii="Helvetica" w:eastAsia="Times New Roman" w:hAnsi="Helvetica" w:cs="Helvetica"/>
          <w:color w:val="444444"/>
          <w:sz w:val="21"/>
          <w:szCs w:val="21"/>
        </w:rPr>
        <w:t>On remand, the Supreme Court directed the Fifth Circuit to apply an exacting strict scrutiny standard to the University’s race-based admission process. The Fifth Circuit recently issued its opinion on remand again upholding the constitutionality of the University’s admissions process. The opinion provides in pertinent part that “[c]lose scrutiny of the data in this record confirms that holistic review . . . does not, as claimed, function as an open gate to boost minority headcount for a racial quota.”</w:t>
      </w:r>
    </w:p>
    <w:p w:rsidR="00C91562" w:rsidRPr="00C91562" w:rsidRDefault="00C91562" w:rsidP="00C91562">
      <w:pPr>
        <w:spacing w:after="240" w:line="240" w:lineRule="auto"/>
        <w:jc w:val="both"/>
        <w:rPr>
          <w:rFonts w:ascii="Helvetica" w:eastAsia="Times New Roman" w:hAnsi="Helvetica" w:cs="Helvetica"/>
          <w:color w:val="444444"/>
          <w:sz w:val="21"/>
          <w:szCs w:val="21"/>
        </w:rPr>
      </w:pPr>
      <w:r w:rsidRPr="00C91562">
        <w:rPr>
          <w:rFonts w:ascii="Helvetica" w:eastAsia="Times New Roman" w:hAnsi="Helvetica" w:cs="Helvetica"/>
          <w:color w:val="444444"/>
          <w:sz w:val="21"/>
          <w:szCs w:val="21"/>
        </w:rPr>
        <w:t xml:space="preserve">The Fifth Circuit’s opinion is available at the following link: </w:t>
      </w:r>
      <w:hyperlink r:id="rId9" w:history="1">
        <w:r w:rsidRPr="00C91562">
          <w:rPr>
            <w:rFonts w:ascii="Helvetica" w:eastAsia="Times New Roman" w:hAnsi="Helvetica" w:cs="Helvetica"/>
            <w:color w:val="21759B"/>
            <w:sz w:val="21"/>
            <w:szCs w:val="21"/>
          </w:rPr>
          <w:t>Fisher</w:t>
        </w:r>
      </w:hyperlink>
      <w:r w:rsidRPr="00C91562">
        <w:rPr>
          <w:rFonts w:ascii="Helvetica" w:eastAsia="Times New Roman" w:hAnsi="Helvetica" w:cs="Helvetica"/>
          <w:color w:val="444444"/>
          <w:sz w:val="21"/>
          <w:szCs w:val="21"/>
        </w:rPr>
        <w:t>.</w:t>
      </w:r>
    </w:p>
    <w:p w:rsidR="00C91562" w:rsidRPr="00C91562" w:rsidRDefault="00C91562" w:rsidP="00C91562">
      <w:pPr>
        <w:spacing w:after="120" w:line="240" w:lineRule="auto"/>
        <w:jc w:val="center"/>
        <w:rPr>
          <w:rFonts w:ascii="Helvetica" w:eastAsia="Times New Roman" w:hAnsi="Helvetica" w:cs="Helvetica"/>
          <w:color w:val="444444"/>
          <w:sz w:val="21"/>
          <w:szCs w:val="21"/>
        </w:rPr>
      </w:pPr>
      <w:r w:rsidRPr="00C91562">
        <w:rPr>
          <w:rFonts w:ascii="Helvetica" w:eastAsia="Times New Roman" w:hAnsi="Helvetica" w:cs="Helvetica"/>
          <w:b/>
          <w:bCs/>
          <w:color w:val="444444"/>
          <w:sz w:val="21"/>
          <w:szCs w:val="21"/>
          <w:u w:val="single"/>
        </w:rPr>
        <w:t>School District Not Liable for “Free Speech” Claims Involving a Vendor</w:t>
      </w:r>
    </w:p>
    <w:p w:rsidR="00C91562" w:rsidRPr="00C91562" w:rsidRDefault="00C91562" w:rsidP="00C91562">
      <w:pPr>
        <w:spacing w:after="120" w:line="240" w:lineRule="auto"/>
        <w:jc w:val="both"/>
        <w:rPr>
          <w:rFonts w:ascii="Helvetica" w:eastAsia="Times New Roman" w:hAnsi="Helvetica" w:cs="Helvetica"/>
          <w:color w:val="444444"/>
          <w:sz w:val="21"/>
          <w:szCs w:val="21"/>
        </w:rPr>
      </w:pPr>
      <w:proofErr w:type="gramStart"/>
      <w:r w:rsidRPr="00C91562">
        <w:rPr>
          <w:rFonts w:ascii="Helvetica" w:eastAsia="Times New Roman" w:hAnsi="Helvetica" w:cs="Helvetica"/>
          <w:color w:val="444444"/>
          <w:sz w:val="21"/>
          <w:szCs w:val="21"/>
        </w:rPr>
        <w:t xml:space="preserve">In </w:t>
      </w:r>
      <w:proofErr w:type="spellStart"/>
      <w:r w:rsidRPr="00C91562">
        <w:rPr>
          <w:rFonts w:ascii="Helvetica" w:eastAsia="Times New Roman" w:hAnsi="Helvetica" w:cs="Helvetica"/>
          <w:color w:val="444444"/>
          <w:sz w:val="21"/>
          <w:szCs w:val="21"/>
        </w:rPr>
        <w:t>Varley</w:t>
      </w:r>
      <w:proofErr w:type="spellEnd"/>
      <w:r w:rsidRPr="00C91562">
        <w:rPr>
          <w:rFonts w:ascii="Helvetica" w:eastAsia="Times New Roman" w:hAnsi="Helvetica" w:cs="Helvetica"/>
          <w:color w:val="444444"/>
          <w:sz w:val="21"/>
          <w:szCs w:val="21"/>
        </w:rPr>
        <w:t xml:space="preserve"> v. Regional School District No. 4, 2014 WL 1814187 (Conn. Super.</w:t>
      </w:r>
      <w:proofErr w:type="gramEnd"/>
      <w:r w:rsidRPr="00C91562">
        <w:rPr>
          <w:rFonts w:ascii="Helvetica" w:eastAsia="Times New Roman" w:hAnsi="Helvetica" w:cs="Helvetica"/>
          <w:color w:val="444444"/>
          <w:sz w:val="21"/>
          <w:szCs w:val="21"/>
        </w:rPr>
        <w:t xml:space="preserve"> April 4,  2014), a Connecticut Superior Court judge held that a school district could not be held liable under a statute protecting employees against deprivation of “free speech” rights as the consequence of a bus contractor terminating one of its drivers.</w:t>
      </w:r>
    </w:p>
    <w:p w:rsidR="00C91562" w:rsidRPr="00C91562" w:rsidRDefault="00C91562" w:rsidP="00C91562">
      <w:pPr>
        <w:spacing w:after="120" w:line="240" w:lineRule="auto"/>
        <w:jc w:val="both"/>
        <w:rPr>
          <w:rFonts w:ascii="Helvetica" w:eastAsia="Times New Roman" w:hAnsi="Helvetica" w:cs="Helvetica"/>
          <w:color w:val="444444"/>
          <w:sz w:val="21"/>
          <w:szCs w:val="21"/>
        </w:rPr>
      </w:pPr>
      <w:r w:rsidRPr="00C91562">
        <w:rPr>
          <w:rFonts w:ascii="Helvetica" w:eastAsia="Times New Roman" w:hAnsi="Helvetica" w:cs="Helvetica"/>
          <w:color w:val="444444"/>
          <w:sz w:val="21"/>
          <w:szCs w:val="21"/>
        </w:rPr>
        <w:t xml:space="preserve">In </w:t>
      </w:r>
      <w:proofErr w:type="spellStart"/>
      <w:r w:rsidRPr="00C91562">
        <w:rPr>
          <w:rFonts w:ascii="Helvetica" w:eastAsia="Times New Roman" w:hAnsi="Helvetica" w:cs="Helvetica"/>
          <w:color w:val="444444"/>
          <w:sz w:val="21"/>
          <w:szCs w:val="21"/>
        </w:rPr>
        <w:t>Varley</w:t>
      </w:r>
      <w:proofErr w:type="spellEnd"/>
      <w:r w:rsidRPr="00C91562">
        <w:rPr>
          <w:rFonts w:ascii="Helvetica" w:eastAsia="Times New Roman" w:hAnsi="Helvetica" w:cs="Helvetica"/>
          <w:color w:val="444444"/>
          <w:sz w:val="21"/>
          <w:szCs w:val="21"/>
        </w:rPr>
        <w:t xml:space="preserve">, Plaintiff was hired as a bus driver by a company that provided transportation services to a regional school district.  Due to parental complaints, the school district requested that the bus contractor remove the driver from providing services to the school district’s students and routes, as was permitted by its contract.  The driver was removed and resigned.  She then filed suit against the school district asserting, in part, that her resignation was caused partly by the school district </w:t>
      </w:r>
      <w:r w:rsidRPr="00C91562">
        <w:rPr>
          <w:rFonts w:ascii="Helvetica" w:eastAsia="Times New Roman" w:hAnsi="Helvetica" w:cs="Helvetica"/>
          <w:color w:val="444444"/>
          <w:sz w:val="21"/>
          <w:szCs w:val="21"/>
        </w:rPr>
        <w:lastRenderedPageBreak/>
        <w:t>retaliating against her for her exercise of free speech rights which was based upon the fact that on two occasions, the plaintiff appeared at school district meetings to comment about her job duties.</w:t>
      </w:r>
    </w:p>
    <w:p w:rsidR="00C91562" w:rsidRPr="00C91562" w:rsidRDefault="00C91562" w:rsidP="00C91562">
      <w:pPr>
        <w:spacing w:after="120" w:line="240" w:lineRule="auto"/>
        <w:jc w:val="both"/>
        <w:rPr>
          <w:rFonts w:ascii="Helvetica" w:eastAsia="Times New Roman" w:hAnsi="Helvetica" w:cs="Helvetica"/>
          <w:color w:val="444444"/>
          <w:sz w:val="21"/>
          <w:szCs w:val="21"/>
        </w:rPr>
      </w:pPr>
      <w:r w:rsidRPr="00C91562">
        <w:rPr>
          <w:rFonts w:ascii="Helvetica" w:eastAsia="Times New Roman" w:hAnsi="Helvetica" w:cs="Helvetica"/>
          <w:color w:val="444444"/>
          <w:sz w:val="21"/>
          <w:szCs w:val="21"/>
        </w:rPr>
        <w:t xml:space="preserve">The school district asserted, among other defenses, that it could not be liable under state law because it was not Plaintiff’s employer.  The Superior Court agreed and entered summary judgment for the school district.  The Court relied upon the express wording of this statute, which provides for liability for “any </w:t>
      </w:r>
      <w:r w:rsidRPr="00C91562">
        <w:rPr>
          <w:rFonts w:ascii="Helvetica" w:eastAsia="Times New Roman" w:hAnsi="Helvetica" w:cs="Helvetica"/>
          <w:i/>
          <w:iCs/>
          <w:color w:val="444444"/>
          <w:sz w:val="21"/>
          <w:szCs w:val="21"/>
        </w:rPr>
        <w:t xml:space="preserve">employer </w:t>
      </w:r>
      <w:r w:rsidRPr="00C91562">
        <w:rPr>
          <w:rFonts w:ascii="Helvetica" w:eastAsia="Times New Roman" w:hAnsi="Helvetica" w:cs="Helvetica"/>
          <w:color w:val="444444"/>
          <w:sz w:val="21"/>
          <w:szCs w:val="21"/>
        </w:rPr>
        <w:t xml:space="preserve"> … who subjects any </w:t>
      </w:r>
      <w:r w:rsidRPr="00C91562">
        <w:rPr>
          <w:rFonts w:ascii="Helvetica" w:eastAsia="Times New Roman" w:hAnsi="Helvetica" w:cs="Helvetica"/>
          <w:i/>
          <w:iCs/>
          <w:color w:val="444444"/>
          <w:sz w:val="21"/>
          <w:szCs w:val="21"/>
        </w:rPr>
        <w:t>employee</w:t>
      </w:r>
      <w:r w:rsidRPr="00C91562">
        <w:rPr>
          <w:rFonts w:ascii="Helvetica" w:eastAsia="Times New Roman" w:hAnsi="Helvetica" w:cs="Helvetica"/>
          <w:color w:val="444444"/>
          <w:sz w:val="21"/>
          <w:szCs w:val="21"/>
        </w:rPr>
        <w:t xml:space="preserve"> to discipline or discharge on account of the exercise by such employee of rights guaranteed” by the free speech provisions of the United States and Connecticut Constitutions  (emphasis added).  While this statute does not expressly define “employer,” the Court relied upon both accepted and prior case law definitions of that term in finding that the bus contractor, and not the school district, was the employer. The Court noted that the school district did not pay the wages and did not have the authority to hire or discharge Plaintiff; rather, the school district merely had the contractual right to request removal of the driver from the school district’s routes.</w:t>
      </w:r>
    </w:p>
    <w:p w:rsidR="00C91562" w:rsidRPr="00C91562" w:rsidRDefault="00C91562" w:rsidP="00C91562">
      <w:pPr>
        <w:spacing w:after="120" w:line="240" w:lineRule="auto"/>
        <w:jc w:val="both"/>
        <w:rPr>
          <w:rFonts w:ascii="Helvetica" w:eastAsia="Times New Roman" w:hAnsi="Helvetica" w:cs="Helvetica"/>
          <w:color w:val="444444"/>
          <w:sz w:val="21"/>
          <w:szCs w:val="21"/>
        </w:rPr>
      </w:pPr>
      <w:r w:rsidRPr="00C91562">
        <w:rPr>
          <w:rFonts w:ascii="Helvetica" w:eastAsia="Times New Roman" w:hAnsi="Helvetica" w:cs="Helvetica"/>
          <w:color w:val="444444"/>
          <w:sz w:val="21"/>
          <w:szCs w:val="21"/>
        </w:rPr>
        <w:t>The Court also rejected a claim that the school district “</w:t>
      </w:r>
      <w:proofErr w:type="spellStart"/>
      <w:r w:rsidRPr="00C91562">
        <w:rPr>
          <w:rFonts w:ascii="Helvetica" w:eastAsia="Times New Roman" w:hAnsi="Helvetica" w:cs="Helvetica"/>
          <w:color w:val="444444"/>
          <w:sz w:val="21"/>
          <w:szCs w:val="21"/>
        </w:rPr>
        <w:t>tortiously</w:t>
      </w:r>
      <w:proofErr w:type="spellEnd"/>
      <w:r w:rsidRPr="00C91562">
        <w:rPr>
          <w:rFonts w:ascii="Helvetica" w:eastAsia="Times New Roman" w:hAnsi="Helvetica" w:cs="Helvetica"/>
          <w:color w:val="444444"/>
          <w:sz w:val="21"/>
          <w:szCs w:val="21"/>
        </w:rPr>
        <w:t xml:space="preserve"> interfered” with contractual relations between the driver and the bus company, noting that absent some evidence the school district fabricated the parental complaints, the school district’s expression of dissatisfaction with the Plaintiff had a valid basis, was permitted under its contract, and was not motivated by malice.</w:t>
      </w:r>
    </w:p>
    <w:p w:rsidR="00C91562" w:rsidRPr="00C91562" w:rsidRDefault="00C91562" w:rsidP="00C91562">
      <w:pPr>
        <w:spacing w:after="240" w:line="240" w:lineRule="auto"/>
        <w:jc w:val="both"/>
        <w:rPr>
          <w:rFonts w:ascii="Helvetica" w:eastAsia="Times New Roman" w:hAnsi="Helvetica" w:cs="Helvetica"/>
          <w:color w:val="444444"/>
          <w:sz w:val="21"/>
          <w:szCs w:val="21"/>
        </w:rPr>
      </w:pPr>
      <w:r w:rsidRPr="00C91562">
        <w:rPr>
          <w:rFonts w:ascii="Helvetica" w:eastAsia="Times New Roman" w:hAnsi="Helvetica" w:cs="Helvetica"/>
          <w:color w:val="444444"/>
          <w:sz w:val="21"/>
          <w:szCs w:val="21"/>
        </w:rPr>
        <w:t xml:space="preserve">A copy of the Court’s opinion is available at the following link: </w:t>
      </w:r>
      <w:hyperlink r:id="rId10" w:history="1">
        <w:proofErr w:type="spellStart"/>
        <w:r w:rsidRPr="00C91562">
          <w:rPr>
            <w:rFonts w:ascii="Helvetica" w:eastAsia="Times New Roman" w:hAnsi="Helvetica" w:cs="Helvetica"/>
            <w:color w:val="21759B"/>
            <w:sz w:val="21"/>
            <w:szCs w:val="21"/>
          </w:rPr>
          <w:t>Varley</w:t>
        </w:r>
        <w:proofErr w:type="spellEnd"/>
      </w:hyperlink>
      <w:r w:rsidRPr="00C91562">
        <w:rPr>
          <w:rFonts w:ascii="Helvetica" w:eastAsia="Times New Roman" w:hAnsi="Helvetica" w:cs="Helvetica"/>
          <w:color w:val="444444"/>
          <w:sz w:val="21"/>
          <w:szCs w:val="21"/>
        </w:rPr>
        <w:t>.</w:t>
      </w:r>
    </w:p>
    <w:p w:rsidR="00C91562" w:rsidRPr="00C91562" w:rsidRDefault="00C91562" w:rsidP="00C91562">
      <w:pPr>
        <w:spacing w:after="120" w:line="240" w:lineRule="auto"/>
        <w:jc w:val="center"/>
        <w:rPr>
          <w:rFonts w:ascii="Helvetica" w:eastAsia="Times New Roman" w:hAnsi="Helvetica" w:cs="Helvetica"/>
          <w:color w:val="444444"/>
          <w:sz w:val="21"/>
          <w:szCs w:val="21"/>
        </w:rPr>
      </w:pPr>
      <w:r w:rsidRPr="00C91562">
        <w:rPr>
          <w:rFonts w:ascii="Helvetica" w:eastAsia="Times New Roman" w:hAnsi="Helvetica" w:cs="Helvetica"/>
          <w:b/>
          <w:bCs/>
          <w:color w:val="444444"/>
          <w:sz w:val="21"/>
          <w:szCs w:val="21"/>
          <w:u w:val="single"/>
        </w:rPr>
        <w:t xml:space="preserve">Victory in Lawsuit </w:t>
      </w:r>
      <w:proofErr w:type="gramStart"/>
      <w:r w:rsidRPr="00C91562">
        <w:rPr>
          <w:rFonts w:ascii="Helvetica" w:eastAsia="Times New Roman" w:hAnsi="Helvetica" w:cs="Helvetica"/>
          <w:b/>
          <w:bCs/>
          <w:color w:val="444444"/>
          <w:sz w:val="21"/>
          <w:szCs w:val="21"/>
          <w:u w:val="single"/>
        </w:rPr>
        <w:t>Over</w:t>
      </w:r>
      <w:proofErr w:type="gramEnd"/>
      <w:r w:rsidRPr="00C91562">
        <w:rPr>
          <w:rFonts w:ascii="Helvetica" w:eastAsia="Times New Roman" w:hAnsi="Helvetica" w:cs="Helvetica"/>
          <w:b/>
          <w:bCs/>
          <w:color w:val="444444"/>
          <w:sz w:val="21"/>
          <w:szCs w:val="21"/>
          <w:u w:val="single"/>
        </w:rPr>
        <w:t xml:space="preserve"> Transgender Student is in the Eye of the Beholder</w:t>
      </w:r>
    </w:p>
    <w:p w:rsidR="00C91562" w:rsidRPr="00C91562" w:rsidRDefault="00C91562" w:rsidP="00C91562">
      <w:pPr>
        <w:spacing w:after="120" w:line="240" w:lineRule="auto"/>
        <w:jc w:val="both"/>
        <w:rPr>
          <w:rFonts w:ascii="Helvetica" w:eastAsia="Times New Roman" w:hAnsi="Helvetica" w:cs="Helvetica"/>
          <w:color w:val="444444"/>
          <w:sz w:val="21"/>
          <w:szCs w:val="21"/>
        </w:rPr>
      </w:pPr>
      <w:proofErr w:type="spellStart"/>
      <w:r w:rsidRPr="00C91562">
        <w:rPr>
          <w:rFonts w:ascii="Helvetica" w:eastAsia="Times New Roman" w:hAnsi="Helvetica" w:cs="Helvetica"/>
          <w:color w:val="444444"/>
          <w:sz w:val="21"/>
          <w:szCs w:val="21"/>
        </w:rPr>
        <w:t>Domaine</w:t>
      </w:r>
      <w:proofErr w:type="spellEnd"/>
      <w:r w:rsidRPr="00C91562">
        <w:rPr>
          <w:rFonts w:ascii="Helvetica" w:eastAsia="Times New Roman" w:hAnsi="Helvetica" w:cs="Helvetica"/>
          <w:color w:val="444444"/>
          <w:sz w:val="21"/>
          <w:szCs w:val="21"/>
        </w:rPr>
        <w:t xml:space="preserve"> Javier, male by birth, registered as a female student at California Baptist University (“CBU”) in Riverside, California. Javier lives as a female and is identified as a female on her driver’s license and social security card. CBU learned of Javier’s transgender status from a reality show upon which Javier appeared. This resulted in Javier’s expulsion from CBU and an Order prohibiting Javier from CBU property and attending on campus events which are open to the public. At the administrative appeal, CBU said the expulsion was based on fraud. The decision for expulsion and the restriction from CBU property was upheld; however, the Order to stay away from public events on campus was reversed.</w:t>
      </w:r>
    </w:p>
    <w:p w:rsidR="00C91562" w:rsidRPr="00C91562" w:rsidRDefault="00C91562" w:rsidP="00C91562">
      <w:pPr>
        <w:spacing w:after="120" w:line="240" w:lineRule="auto"/>
        <w:jc w:val="both"/>
        <w:rPr>
          <w:rFonts w:ascii="Helvetica" w:eastAsia="Times New Roman" w:hAnsi="Helvetica" w:cs="Helvetica"/>
          <w:color w:val="444444"/>
          <w:sz w:val="21"/>
          <w:szCs w:val="21"/>
        </w:rPr>
      </w:pPr>
      <w:r w:rsidRPr="00C91562">
        <w:rPr>
          <w:rFonts w:ascii="Helvetica" w:eastAsia="Times New Roman" w:hAnsi="Helvetica" w:cs="Helvetica"/>
          <w:color w:val="444444"/>
          <w:sz w:val="21"/>
          <w:szCs w:val="21"/>
        </w:rPr>
        <w:t>Javier sued under California’s Unruh Civil Rights Act (“Act”), which bars discrimination on the basis of gender or gender identity. CBU argued that it was not a “business establishment” thus the Act was inapplicable. The Superior Court determined that the Act was inapplicable to the on-campus educational activities. However, the Court found that CBU’s for-profit properties, including a library and restaurant, were business establishments and thus Javier could not be barred under the Act.  Javier was awarded $4,000.00 in damages and attorney’s fees on that count.</w:t>
      </w:r>
    </w:p>
    <w:p w:rsidR="00C91562" w:rsidRPr="00C91562" w:rsidRDefault="00C91562" w:rsidP="00C91562">
      <w:pPr>
        <w:spacing w:after="120" w:line="240" w:lineRule="auto"/>
        <w:jc w:val="both"/>
        <w:rPr>
          <w:rFonts w:ascii="Helvetica" w:eastAsia="Times New Roman" w:hAnsi="Helvetica" w:cs="Helvetica"/>
          <w:color w:val="444444"/>
          <w:sz w:val="21"/>
          <w:szCs w:val="21"/>
        </w:rPr>
      </w:pPr>
      <w:r w:rsidRPr="00C91562">
        <w:rPr>
          <w:rFonts w:ascii="Helvetica" w:eastAsia="Times New Roman" w:hAnsi="Helvetica" w:cs="Helvetica"/>
          <w:color w:val="444444"/>
          <w:sz w:val="21"/>
          <w:szCs w:val="21"/>
        </w:rPr>
        <w:t>Both sides claimed victory from the “split decision.”  Legal counsel for CBU stated that they were pleased by the ruling that a private, religious school is not a business. Likewise Javier’s legal counsel was satisfied with the “really strong statement from the Court” that businesses may not discriminate against transgender people.</w:t>
      </w:r>
    </w:p>
    <w:p w:rsidR="00C91562" w:rsidRPr="00C91562" w:rsidRDefault="00C91562" w:rsidP="00C91562">
      <w:pPr>
        <w:spacing w:after="240" w:line="240" w:lineRule="auto"/>
        <w:jc w:val="both"/>
        <w:rPr>
          <w:rFonts w:ascii="Helvetica" w:eastAsia="Times New Roman" w:hAnsi="Helvetica" w:cs="Helvetica"/>
          <w:color w:val="444444"/>
          <w:sz w:val="21"/>
          <w:szCs w:val="21"/>
        </w:rPr>
      </w:pPr>
      <w:r w:rsidRPr="00C91562">
        <w:rPr>
          <w:rFonts w:ascii="Helvetica" w:eastAsia="Times New Roman" w:hAnsi="Helvetica" w:cs="Helvetica"/>
          <w:color w:val="444444"/>
          <w:sz w:val="21"/>
          <w:szCs w:val="21"/>
        </w:rPr>
        <w:t xml:space="preserve">Source: </w:t>
      </w:r>
      <w:hyperlink r:id="rId11" w:history="1">
        <w:r w:rsidRPr="00C91562">
          <w:rPr>
            <w:rFonts w:ascii="Helvetica" w:eastAsia="Times New Roman" w:hAnsi="Helvetica" w:cs="Helvetica"/>
            <w:color w:val="21759B"/>
            <w:sz w:val="21"/>
            <w:szCs w:val="21"/>
          </w:rPr>
          <w:t>ABA Journal</w:t>
        </w:r>
      </w:hyperlink>
      <w:r w:rsidRPr="00C91562">
        <w:rPr>
          <w:rFonts w:ascii="Helvetica" w:eastAsia="Times New Roman" w:hAnsi="Helvetica" w:cs="Helvetica"/>
          <w:color w:val="444444"/>
          <w:sz w:val="21"/>
          <w:szCs w:val="21"/>
        </w:rPr>
        <w:t>.</w:t>
      </w:r>
    </w:p>
    <w:p w:rsidR="00C91562" w:rsidRPr="00C91562" w:rsidRDefault="00C91562" w:rsidP="00C91562">
      <w:pPr>
        <w:spacing w:before="360" w:after="120" w:line="240" w:lineRule="auto"/>
        <w:jc w:val="center"/>
        <w:outlineLvl w:val="5"/>
        <w:rPr>
          <w:rFonts w:ascii="Helvetica" w:eastAsia="Times New Roman" w:hAnsi="Helvetica" w:cs="Helvetica"/>
          <w:b/>
          <w:bCs/>
          <w:color w:val="444444"/>
          <w:sz w:val="20"/>
          <w:szCs w:val="20"/>
        </w:rPr>
      </w:pPr>
      <w:r w:rsidRPr="00C91562">
        <w:rPr>
          <w:rFonts w:ascii="Helvetica" w:eastAsia="Times New Roman" w:hAnsi="Helvetica" w:cs="Helvetica"/>
          <w:b/>
          <w:bCs/>
          <w:color w:val="444444"/>
          <w:sz w:val="20"/>
          <w:szCs w:val="20"/>
          <w:u w:val="single"/>
        </w:rPr>
        <w:t>Eleventh Circuit Finds Florida Atlantic University Immune from Claims Brought Under Florida Age Discrimination in Employment Act</w:t>
      </w:r>
    </w:p>
    <w:p w:rsidR="00C91562" w:rsidRPr="00C91562" w:rsidRDefault="00C91562" w:rsidP="00C91562">
      <w:pPr>
        <w:spacing w:after="120" w:line="240" w:lineRule="auto"/>
        <w:jc w:val="both"/>
        <w:rPr>
          <w:rFonts w:ascii="Helvetica" w:eastAsia="Times New Roman" w:hAnsi="Helvetica" w:cs="Helvetica"/>
          <w:color w:val="444444"/>
          <w:sz w:val="21"/>
          <w:szCs w:val="21"/>
        </w:rPr>
      </w:pPr>
      <w:r w:rsidRPr="00C91562">
        <w:rPr>
          <w:rFonts w:ascii="Helvetica" w:eastAsia="Times New Roman" w:hAnsi="Helvetica" w:cs="Helvetica"/>
          <w:color w:val="444444"/>
          <w:sz w:val="21"/>
          <w:szCs w:val="21"/>
        </w:rPr>
        <w:t xml:space="preserve">On July 24, 2014, the Eleventh Circuit Court of Appeals issued its opinion in </w:t>
      </w:r>
      <w:proofErr w:type="spellStart"/>
      <w:r w:rsidRPr="00C91562">
        <w:rPr>
          <w:rFonts w:ascii="Helvetica" w:eastAsia="Times New Roman" w:hAnsi="Helvetica" w:cs="Helvetica"/>
          <w:color w:val="444444"/>
          <w:sz w:val="21"/>
          <w:szCs w:val="21"/>
        </w:rPr>
        <w:t>Crisman</w:t>
      </w:r>
      <w:proofErr w:type="spellEnd"/>
      <w:r w:rsidRPr="00C91562">
        <w:rPr>
          <w:rFonts w:ascii="Helvetica" w:eastAsia="Times New Roman" w:hAnsi="Helvetica" w:cs="Helvetica"/>
          <w:color w:val="444444"/>
          <w:sz w:val="21"/>
          <w:szCs w:val="21"/>
        </w:rPr>
        <w:t xml:space="preserve"> v. Florida Atlantic University Board of Trustees, where it found that FAU was entitled to Eleventh Amendment immunity for claims brought under the Florida Age Discrimination in Employment Act, §112.044, </w:t>
      </w:r>
      <w:proofErr w:type="spellStart"/>
      <w:r w:rsidRPr="00C91562">
        <w:rPr>
          <w:rFonts w:ascii="Helvetica" w:eastAsia="Times New Roman" w:hAnsi="Helvetica" w:cs="Helvetica"/>
          <w:color w:val="444444"/>
          <w:sz w:val="21"/>
          <w:szCs w:val="21"/>
        </w:rPr>
        <w:t>FloridaStatutes</w:t>
      </w:r>
      <w:proofErr w:type="spellEnd"/>
      <w:r w:rsidRPr="00C91562">
        <w:rPr>
          <w:rFonts w:ascii="Helvetica" w:eastAsia="Times New Roman" w:hAnsi="Helvetica" w:cs="Helvetica"/>
          <w:color w:val="444444"/>
          <w:sz w:val="21"/>
          <w:szCs w:val="21"/>
        </w:rPr>
        <w:t xml:space="preserve"> (“FL-ADEA”). </w:t>
      </w:r>
      <w:proofErr w:type="spellStart"/>
      <w:r w:rsidRPr="00C91562">
        <w:rPr>
          <w:rFonts w:ascii="Helvetica" w:eastAsia="Times New Roman" w:hAnsi="Helvetica" w:cs="Helvetica"/>
          <w:color w:val="444444"/>
          <w:sz w:val="21"/>
          <w:szCs w:val="21"/>
        </w:rPr>
        <w:t>Crisman</w:t>
      </w:r>
      <w:proofErr w:type="spellEnd"/>
      <w:r w:rsidRPr="00C91562">
        <w:rPr>
          <w:rFonts w:ascii="Helvetica" w:eastAsia="Times New Roman" w:hAnsi="Helvetica" w:cs="Helvetica"/>
          <w:color w:val="444444"/>
          <w:sz w:val="21"/>
          <w:szCs w:val="21"/>
        </w:rPr>
        <w:t xml:space="preserve"> sued FAU under the FL-ADEA claiming that a younger black male had been transferred into her position. FAU moved to dismiss the claim and argued that as an agency or instrumentality of the State of Florida, it was entitled to immunity under the Eleventh Amendment to the U.S. Constitution. The Court discussed the analysis applicable to claims of Eleventh Amendment immunity and analyzed whether in enacting the FL-ADEA, the Florida Legislature explicitly consented to suit against state entities such as state universities. The Court held that as an arm of the State of Florida, FAU was immune because no such consent had been provided.</w:t>
      </w:r>
      <w:r>
        <w:rPr>
          <w:rFonts w:ascii="Helvetica" w:eastAsia="Times New Roman" w:hAnsi="Helvetica" w:cs="Helvetica"/>
          <w:color w:val="444444"/>
          <w:sz w:val="21"/>
          <w:szCs w:val="21"/>
        </w:rPr>
        <w:t xml:space="preserve">  </w:t>
      </w:r>
      <w:r w:rsidRPr="00C91562">
        <w:rPr>
          <w:rFonts w:ascii="Helvetica" w:eastAsia="Times New Roman" w:hAnsi="Helvetica" w:cs="Helvetica"/>
          <w:color w:val="444444"/>
          <w:sz w:val="21"/>
          <w:szCs w:val="21"/>
        </w:rPr>
        <w:t xml:space="preserve">A copy of the Court’s opinion is available at the following link: </w:t>
      </w:r>
      <w:hyperlink r:id="rId12" w:history="1">
        <w:proofErr w:type="spellStart"/>
        <w:r w:rsidRPr="00C91562">
          <w:rPr>
            <w:rFonts w:ascii="Helvetica" w:eastAsia="Times New Roman" w:hAnsi="Helvetica" w:cs="Helvetica"/>
            <w:color w:val="21759B"/>
            <w:sz w:val="21"/>
            <w:szCs w:val="21"/>
          </w:rPr>
          <w:t>Crisman</w:t>
        </w:r>
        <w:proofErr w:type="spellEnd"/>
      </w:hyperlink>
      <w:r w:rsidRPr="00C91562">
        <w:rPr>
          <w:rFonts w:ascii="Helvetica" w:eastAsia="Times New Roman" w:hAnsi="Helvetica" w:cs="Helvetica"/>
          <w:color w:val="444444"/>
          <w:sz w:val="21"/>
          <w:szCs w:val="21"/>
        </w:rPr>
        <w:t>.</w:t>
      </w:r>
    </w:p>
    <w:p w:rsidR="00C91562" w:rsidRPr="00C91562" w:rsidRDefault="00C91562" w:rsidP="00C91562">
      <w:pPr>
        <w:spacing w:after="120" w:line="240" w:lineRule="auto"/>
        <w:jc w:val="center"/>
        <w:rPr>
          <w:rFonts w:ascii="Helvetica" w:eastAsia="Times New Roman" w:hAnsi="Helvetica" w:cs="Helvetica"/>
          <w:color w:val="444444"/>
          <w:sz w:val="21"/>
          <w:szCs w:val="21"/>
        </w:rPr>
      </w:pPr>
      <w:r w:rsidRPr="00C91562">
        <w:rPr>
          <w:rFonts w:ascii="Helvetica" w:eastAsia="Times New Roman" w:hAnsi="Helvetica" w:cs="Helvetica"/>
          <w:b/>
          <w:bCs/>
          <w:color w:val="444444"/>
          <w:sz w:val="21"/>
          <w:szCs w:val="21"/>
          <w:u w:val="single"/>
        </w:rPr>
        <w:lastRenderedPageBreak/>
        <w:t>Florida Office of the Attorney General Releases Advisory Opinion on Government Contractor’s Obligation to Comply with State Public Records Laws</w:t>
      </w:r>
    </w:p>
    <w:p w:rsidR="00C91562" w:rsidRPr="00C91562" w:rsidRDefault="00C91562" w:rsidP="00C91562">
      <w:pPr>
        <w:spacing w:after="120" w:line="240" w:lineRule="auto"/>
        <w:jc w:val="both"/>
        <w:rPr>
          <w:rFonts w:ascii="Helvetica" w:eastAsia="Times New Roman" w:hAnsi="Helvetica" w:cs="Helvetica"/>
          <w:color w:val="444444"/>
          <w:sz w:val="21"/>
          <w:szCs w:val="21"/>
        </w:rPr>
      </w:pPr>
      <w:r w:rsidRPr="00C91562">
        <w:rPr>
          <w:rFonts w:ascii="Helvetica" w:eastAsia="Times New Roman" w:hAnsi="Helvetica" w:cs="Helvetica"/>
          <w:color w:val="444444"/>
          <w:sz w:val="21"/>
          <w:szCs w:val="21"/>
        </w:rPr>
        <w:t>The Florida Attorney General’s Office has released guidance in the form of an advisory legal opinion on compliance with public records laws for government contractors. Florida’s public records law requires that documents or records made or received by public agencies in the course of conducting official business be available for inspection by the public. The public records law applies to state government contractors, just as it does to public agencies, if those contractors are “acting on behalf of” the agency in providing services under the government contract.</w:t>
      </w:r>
    </w:p>
    <w:p w:rsidR="00C91562" w:rsidRPr="00C91562" w:rsidRDefault="00C91562" w:rsidP="00C91562">
      <w:pPr>
        <w:spacing w:after="120" w:line="240" w:lineRule="auto"/>
        <w:jc w:val="both"/>
        <w:rPr>
          <w:rFonts w:ascii="Helvetica" w:eastAsia="Times New Roman" w:hAnsi="Helvetica" w:cs="Helvetica"/>
          <w:color w:val="444444"/>
          <w:sz w:val="21"/>
          <w:szCs w:val="21"/>
        </w:rPr>
      </w:pPr>
      <w:r w:rsidRPr="00C91562">
        <w:rPr>
          <w:rFonts w:ascii="Helvetica" w:eastAsia="Times New Roman" w:hAnsi="Helvetica" w:cs="Helvetica"/>
          <w:color w:val="444444"/>
          <w:sz w:val="21"/>
          <w:szCs w:val="21"/>
        </w:rPr>
        <w:t>The Attorney General’s Opinion clarifies when a government contractor is obligated to comply with the Florida’s public records law, or when a contractor is “acting on behalf of the public agency.” The advisory opinion notes that if a contractor is acting on behalf of a public agency it is essentially taking the place of, or standing in the shoes of, the public agency, and thus has to comply with the same public records requirements as the public agency would have to if itself was performing the service. The advisory opinion indicates that contractors under the terms of the law are those that not only have a contract to perform certain services with the state government or its agencies, but those that are providing services in a manner in which they are acting on behalf of that agency in providing those services.</w:t>
      </w:r>
    </w:p>
    <w:p w:rsidR="00C91562" w:rsidRPr="00C91562" w:rsidRDefault="00C91562" w:rsidP="00C91562">
      <w:pPr>
        <w:spacing w:after="240" w:line="240" w:lineRule="auto"/>
        <w:jc w:val="both"/>
        <w:rPr>
          <w:rFonts w:ascii="Helvetica" w:eastAsia="Times New Roman" w:hAnsi="Helvetica" w:cs="Helvetica"/>
          <w:color w:val="444444"/>
          <w:sz w:val="21"/>
          <w:szCs w:val="21"/>
        </w:rPr>
      </w:pPr>
      <w:r w:rsidRPr="00C91562">
        <w:rPr>
          <w:rFonts w:ascii="Helvetica" w:eastAsia="Times New Roman" w:hAnsi="Helvetica" w:cs="Helvetica"/>
          <w:color w:val="444444"/>
          <w:sz w:val="21"/>
          <w:szCs w:val="21"/>
        </w:rPr>
        <w:t xml:space="preserve">The opinion is available at the following link: </w:t>
      </w:r>
      <w:hyperlink r:id="rId13" w:history="1">
        <w:r w:rsidRPr="00C91562">
          <w:rPr>
            <w:rFonts w:ascii="Helvetica" w:eastAsia="Times New Roman" w:hAnsi="Helvetica" w:cs="Helvetica"/>
            <w:color w:val="21759B"/>
            <w:sz w:val="21"/>
            <w:szCs w:val="21"/>
          </w:rPr>
          <w:t>AGO 2014-06</w:t>
        </w:r>
      </w:hyperlink>
      <w:r w:rsidRPr="00C91562">
        <w:rPr>
          <w:rFonts w:ascii="Helvetica" w:eastAsia="Times New Roman" w:hAnsi="Helvetica" w:cs="Helvetica"/>
          <w:color w:val="444444"/>
          <w:sz w:val="21"/>
          <w:szCs w:val="21"/>
        </w:rPr>
        <w:t>.</w:t>
      </w:r>
    </w:p>
    <w:p w:rsidR="00C91562" w:rsidRPr="00C91562" w:rsidRDefault="00C91562" w:rsidP="00C91562">
      <w:pPr>
        <w:spacing w:after="120" w:line="240" w:lineRule="auto"/>
        <w:jc w:val="center"/>
        <w:rPr>
          <w:rFonts w:ascii="Helvetica" w:eastAsia="Times New Roman" w:hAnsi="Helvetica" w:cs="Helvetica"/>
          <w:color w:val="444444"/>
          <w:sz w:val="21"/>
          <w:szCs w:val="21"/>
        </w:rPr>
      </w:pPr>
      <w:r w:rsidRPr="00C91562">
        <w:rPr>
          <w:rFonts w:ascii="Helvetica" w:eastAsia="Times New Roman" w:hAnsi="Helvetica" w:cs="Helvetica"/>
          <w:b/>
          <w:bCs/>
          <w:color w:val="444444"/>
          <w:sz w:val="21"/>
          <w:szCs w:val="21"/>
          <w:u w:val="single"/>
        </w:rPr>
        <w:t>OCR Investigates More Colleges and Universities for Title IX Compliance</w:t>
      </w:r>
    </w:p>
    <w:p w:rsidR="00C91562" w:rsidRPr="00C91562" w:rsidRDefault="00C91562" w:rsidP="00C91562">
      <w:pPr>
        <w:spacing w:after="120" w:line="240" w:lineRule="auto"/>
        <w:jc w:val="both"/>
        <w:rPr>
          <w:rFonts w:ascii="Helvetica" w:eastAsia="Times New Roman" w:hAnsi="Helvetica" w:cs="Helvetica"/>
          <w:color w:val="444444"/>
          <w:sz w:val="21"/>
          <w:szCs w:val="21"/>
        </w:rPr>
      </w:pPr>
      <w:r w:rsidRPr="00C91562">
        <w:rPr>
          <w:rFonts w:ascii="Helvetica" w:eastAsia="Times New Roman" w:hAnsi="Helvetica" w:cs="Helvetica"/>
          <w:color w:val="444444"/>
          <w:sz w:val="21"/>
          <w:szCs w:val="21"/>
        </w:rPr>
        <w:t xml:space="preserve">In our May 2014 Special Edition of the </w:t>
      </w:r>
      <w:r w:rsidRPr="00C91562">
        <w:rPr>
          <w:rFonts w:ascii="Helvetica" w:eastAsia="Times New Roman" w:hAnsi="Helvetica" w:cs="Helvetica"/>
          <w:i/>
          <w:iCs/>
          <w:color w:val="444444"/>
          <w:sz w:val="21"/>
          <w:szCs w:val="21"/>
        </w:rPr>
        <w:t>Education Law Alert</w:t>
      </w:r>
      <w:r w:rsidRPr="00C91562">
        <w:rPr>
          <w:rFonts w:ascii="Helvetica" w:eastAsia="Times New Roman" w:hAnsi="Helvetica" w:cs="Helvetica"/>
          <w:color w:val="444444"/>
          <w:sz w:val="21"/>
          <w:szCs w:val="21"/>
        </w:rPr>
        <w:t xml:space="preserve">, we highlighted a May 1, 2014, </w:t>
      </w:r>
      <w:hyperlink r:id="rId14" w:history="1">
        <w:r w:rsidRPr="00C91562">
          <w:rPr>
            <w:rFonts w:ascii="Helvetica" w:eastAsia="Times New Roman" w:hAnsi="Helvetica" w:cs="Helvetica"/>
            <w:color w:val="21759B"/>
            <w:sz w:val="21"/>
            <w:szCs w:val="21"/>
          </w:rPr>
          <w:t>press release</w:t>
        </w:r>
      </w:hyperlink>
      <w:r w:rsidRPr="00C91562">
        <w:rPr>
          <w:rFonts w:ascii="Helvetica" w:eastAsia="Times New Roman" w:hAnsi="Helvetica" w:cs="Helvetica"/>
          <w:color w:val="444444"/>
          <w:sz w:val="21"/>
          <w:szCs w:val="21"/>
        </w:rPr>
        <w:t xml:space="preserve"> issued by the United States Department of Education (“US DOE”) announcing that 55 higher education institutions were under investigation for possible violations of federal law over the handling of sexual violence and harassment complaints.  US DOE also issued new Title IX policy guidance in May (</w:t>
      </w:r>
      <w:hyperlink r:id="rId15" w:history="1">
        <w:r w:rsidRPr="00C91562">
          <w:rPr>
            <w:rFonts w:ascii="Helvetica" w:eastAsia="Times New Roman" w:hAnsi="Helvetica" w:cs="Helvetica"/>
            <w:color w:val="21759B"/>
            <w:sz w:val="21"/>
            <w:szCs w:val="21"/>
          </w:rPr>
          <w:t>“Questions and Answers on Title IX and Sexual Violence”</w:t>
        </w:r>
      </w:hyperlink>
      <w:r w:rsidRPr="00C91562">
        <w:rPr>
          <w:rFonts w:ascii="Helvetica" w:eastAsia="Times New Roman" w:hAnsi="Helvetica" w:cs="Helvetica"/>
          <w:color w:val="444444"/>
          <w:sz w:val="21"/>
          <w:szCs w:val="21"/>
        </w:rPr>
        <w:t>).</w:t>
      </w:r>
    </w:p>
    <w:p w:rsidR="00C91562" w:rsidRPr="00C91562" w:rsidRDefault="00C91562" w:rsidP="00C91562">
      <w:pPr>
        <w:spacing w:after="120" w:line="240" w:lineRule="auto"/>
        <w:jc w:val="both"/>
        <w:rPr>
          <w:rFonts w:ascii="Helvetica" w:eastAsia="Times New Roman" w:hAnsi="Helvetica" w:cs="Helvetica"/>
          <w:color w:val="444444"/>
          <w:sz w:val="21"/>
          <w:szCs w:val="21"/>
        </w:rPr>
      </w:pPr>
      <w:r w:rsidRPr="00C91562">
        <w:rPr>
          <w:rFonts w:ascii="Helvetica" w:eastAsia="Times New Roman" w:hAnsi="Helvetica" w:cs="Helvetica"/>
          <w:color w:val="444444"/>
          <w:sz w:val="21"/>
          <w:szCs w:val="21"/>
        </w:rPr>
        <w:t xml:space="preserve">News came out </w:t>
      </w:r>
      <w:r w:rsidR="0048786D">
        <w:rPr>
          <w:rFonts w:ascii="Helvetica" w:eastAsia="Times New Roman" w:hAnsi="Helvetica" w:cs="Helvetica"/>
          <w:color w:val="444444"/>
          <w:sz w:val="21"/>
          <w:szCs w:val="21"/>
        </w:rPr>
        <w:t>recently</w:t>
      </w:r>
      <w:bookmarkStart w:id="0" w:name="_GoBack"/>
      <w:bookmarkEnd w:id="0"/>
      <w:r w:rsidRPr="00C91562">
        <w:rPr>
          <w:rFonts w:ascii="Helvetica" w:eastAsia="Times New Roman" w:hAnsi="Helvetica" w:cs="Helvetica"/>
          <w:color w:val="444444"/>
          <w:sz w:val="21"/>
          <w:szCs w:val="21"/>
        </w:rPr>
        <w:t xml:space="preserve"> that the list has grown from 55 to 67 higher education institutions.  Colleges and universities are encouraged to review their Title IX policies and training programs as soon as possible in light of OCR’s heightened emphasis on Title IX compliance.</w:t>
      </w:r>
    </w:p>
    <w:p w:rsidR="00C91562" w:rsidRPr="00C91562" w:rsidRDefault="00C91562" w:rsidP="00C91562">
      <w:pPr>
        <w:spacing w:after="240" w:line="240" w:lineRule="auto"/>
        <w:jc w:val="both"/>
        <w:rPr>
          <w:rFonts w:ascii="Helvetica" w:eastAsia="Times New Roman" w:hAnsi="Helvetica" w:cs="Helvetica"/>
          <w:color w:val="444444"/>
          <w:sz w:val="21"/>
          <w:szCs w:val="21"/>
        </w:rPr>
      </w:pPr>
      <w:r w:rsidRPr="00C91562">
        <w:rPr>
          <w:rFonts w:ascii="Helvetica" w:eastAsia="Times New Roman" w:hAnsi="Helvetica" w:cs="Helvetica"/>
          <w:color w:val="444444"/>
          <w:sz w:val="21"/>
          <w:szCs w:val="21"/>
        </w:rPr>
        <w:t xml:space="preserve">Source: </w:t>
      </w:r>
      <w:hyperlink r:id="rId16" w:history="1">
        <w:r w:rsidRPr="00C91562">
          <w:rPr>
            <w:rFonts w:ascii="Helvetica" w:eastAsia="Times New Roman" w:hAnsi="Helvetica" w:cs="Helvetica"/>
            <w:color w:val="21759B"/>
            <w:sz w:val="21"/>
            <w:szCs w:val="21"/>
          </w:rPr>
          <w:t>Inside Higher Ed</w:t>
        </w:r>
      </w:hyperlink>
      <w:r w:rsidRPr="00C91562">
        <w:rPr>
          <w:rFonts w:ascii="Helvetica" w:eastAsia="Times New Roman" w:hAnsi="Helvetica" w:cs="Helvetica"/>
          <w:color w:val="444444"/>
          <w:sz w:val="21"/>
          <w:szCs w:val="21"/>
        </w:rPr>
        <w:t>.</w:t>
      </w:r>
    </w:p>
    <w:p w:rsidR="00C91562" w:rsidRPr="00C91562" w:rsidRDefault="00C91562" w:rsidP="00C91562">
      <w:pPr>
        <w:spacing w:after="120" w:line="240" w:lineRule="auto"/>
        <w:jc w:val="center"/>
        <w:rPr>
          <w:rFonts w:ascii="Helvetica" w:eastAsia="Times New Roman" w:hAnsi="Helvetica" w:cs="Helvetica"/>
          <w:color w:val="444444"/>
          <w:sz w:val="21"/>
          <w:szCs w:val="21"/>
        </w:rPr>
      </w:pPr>
      <w:r w:rsidRPr="00C91562">
        <w:rPr>
          <w:rFonts w:ascii="Helvetica" w:eastAsia="Times New Roman" w:hAnsi="Helvetica" w:cs="Helvetica"/>
          <w:b/>
          <w:bCs/>
          <w:color w:val="444444"/>
          <w:sz w:val="21"/>
          <w:szCs w:val="21"/>
          <w:u w:val="single"/>
        </w:rPr>
        <w:t xml:space="preserve">High School Female Sues School District </w:t>
      </w:r>
      <w:proofErr w:type="gramStart"/>
      <w:r w:rsidRPr="00C91562">
        <w:rPr>
          <w:rFonts w:ascii="Helvetica" w:eastAsia="Times New Roman" w:hAnsi="Helvetica" w:cs="Helvetica"/>
          <w:b/>
          <w:bCs/>
          <w:color w:val="444444"/>
          <w:sz w:val="21"/>
          <w:szCs w:val="21"/>
          <w:u w:val="single"/>
        </w:rPr>
        <w:t>Under</w:t>
      </w:r>
      <w:proofErr w:type="gramEnd"/>
      <w:r w:rsidRPr="00C91562">
        <w:rPr>
          <w:rFonts w:ascii="Helvetica" w:eastAsia="Times New Roman" w:hAnsi="Helvetica" w:cs="Helvetica"/>
          <w:b/>
          <w:bCs/>
          <w:color w:val="444444"/>
          <w:sz w:val="21"/>
          <w:szCs w:val="21"/>
          <w:u w:val="single"/>
        </w:rPr>
        <w:t xml:space="preserve"> Title IX (Pregnancy)</w:t>
      </w:r>
    </w:p>
    <w:p w:rsidR="00C91562" w:rsidRPr="00C91562" w:rsidRDefault="00C91562" w:rsidP="00C91562">
      <w:pPr>
        <w:spacing w:after="120" w:line="240" w:lineRule="auto"/>
        <w:jc w:val="both"/>
        <w:rPr>
          <w:rFonts w:ascii="Helvetica" w:eastAsia="Times New Roman" w:hAnsi="Helvetica" w:cs="Helvetica"/>
          <w:color w:val="444444"/>
          <w:sz w:val="21"/>
          <w:szCs w:val="21"/>
        </w:rPr>
      </w:pPr>
      <w:r w:rsidRPr="00C91562">
        <w:rPr>
          <w:rFonts w:ascii="Helvetica" w:eastAsia="Times New Roman" w:hAnsi="Helvetica" w:cs="Helvetica"/>
          <w:color w:val="444444"/>
          <w:sz w:val="21"/>
          <w:szCs w:val="21"/>
        </w:rPr>
        <w:t>A Georgia high school student has filed a civil rights complaint with OCR under Title IX alleging, among other things, that her rights were violated when she was denied at-home school instruction while she was on pregnancy-related bed rest.  The complaint further alleges the following violations (quoted):</w:t>
      </w:r>
    </w:p>
    <w:p w:rsidR="00C91562" w:rsidRPr="00C91562" w:rsidRDefault="00C91562" w:rsidP="00C91562">
      <w:pPr>
        <w:spacing w:after="120" w:line="240" w:lineRule="auto"/>
        <w:jc w:val="both"/>
        <w:rPr>
          <w:rFonts w:ascii="Helvetica" w:eastAsia="Times New Roman" w:hAnsi="Helvetica" w:cs="Helvetica"/>
          <w:i/>
          <w:iCs/>
          <w:color w:val="444444"/>
          <w:sz w:val="21"/>
          <w:szCs w:val="21"/>
        </w:rPr>
      </w:pPr>
      <w:r w:rsidRPr="00C91562">
        <w:rPr>
          <w:rFonts w:ascii="Helvetica" w:eastAsia="Times New Roman" w:hAnsi="Helvetica" w:cs="Helvetica"/>
          <w:i/>
          <w:iCs/>
          <w:color w:val="444444"/>
          <w:sz w:val="21"/>
          <w:szCs w:val="21"/>
        </w:rPr>
        <w:t>Maintaining a policy and practice of treating pregnancy-related absences as unexcused without any regard for federal civil rights law;</w:t>
      </w:r>
    </w:p>
    <w:p w:rsidR="00C91562" w:rsidRPr="00C91562" w:rsidRDefault="00C91562" w:rsidP="00C91562">
      <w:pPr>
        <w:spacing w:after="120" w:line="240" w:lineRule="auto"/>
        <w:jc w:val="both"/>
        <w:rPr>
          <w:rFonts w:ascii="Helvetica" w:eastAsia="Times New Roman" w:hAnsi="Helvetica" w:cs="Helvetica"/>
          <w:i/>
          <w:iCs/>
          <w:color w:val="444444"/>
          <w:sz w:val="21"/>
          <w:szCs w:val="21"/>
        </w:rPr>
      </w:pPr>
      <w:r w:rsidRPr="00C91562">
        <w:rPr>
          <w:rFonts w:ascii="Helvetica" w:eastAsia="Times New Roman" w:hAnsi="Helvetica" w:cs="Helvetica"/>
          <w:i/>
          <w:iCs/>
          <w:color w:val="444444"/>
          <w:sz w:val="21"/>
          <w:szCs w:val="21"/>
        </w:rPr>
        <w:t>Denying pregnant and parenting students the opportunity to enroll in homebound instruction while offering that same opportunity to students with other temporary medical conditions, which also violates Georgia Department of Education Rule 160-4-2-.31;</w:t>
      </w:r>
    </w:p>
    <w:p w:rsidR="00C91562" w:rsidRPr="00C91562" w:rsidRDefault="00C91562" w:rsidP="0048786D">
      <w:pPr>
        <w:spacing w:after="120" w:line="240" w:lineRule="auto"/>
        <w:jc w:val="both"/>
        <w:rPr>
          <w:rFonts w:ascii="Helvetica" w:eastAsia="Times New Roman" w:hAnsi="Helvetica" w:cs="Helvetica"/>
          <w:i/>
          <w:iCs/>
          <w:color w:val="444444"/>
          <w:sz w:val="21"/>
          <w:szCs w:val="21"/>
        </w:rPr>
      </w:pPr>
      <w:r w:rsidRPr="00C91562">
        <w:rPr>
          <w:rFonts w:ascii="Helvetica" w:eastAsia="Times New Roman" w:hAnsi="Helvetica" w:cs="Helvetica"/>
          <w:i/>
          <w:iCs/>
          <w:color w:val="444444"/>
          <w:sz w:val="21"/>
          <w:szCs w:val="21"/>
        </w:rPr>
        <w:t>Maintaining a policy with a negative presumption that pregnant students cannot and will not continue attending school or keep up with/make up their schoolwork, including allowing the Principal to decide at what point in the student’s pregnancy it is no longer safe for her to continue attending school;</w:t>
      </w:r>
    </w:p>
    <w:p w:rsidR="00C91562" w:rsidRPr="00C91562" w:rsidRDefault="00C91562" w:rsidP="0048786D">
      <w:pPr>
        <w:spacing w:after="120" w:line="240" w:lineRule="auto"/>
        <w:jc w:val="both"/>
        <w:rPr>
          <w:rFonts w:ascii="Helvetica" w:eastAsia="Times New Roman" w:hAnsi="Helvetica" w:cs="Helvetica"/>
          <w:i/>
          <w:iCs/>
          <w:color w:val="444444"/>
          <w:sz w:val="21"/>
          <w:szCs w:val="21"/>
        </w:rPr>
      </w:pPr>
      <w:r w:rsidRPr="00C91562">
        <w:rPr>
          <w:rFonts w:ascii="Helvetica" w:eastAsia="Times New Roman" w:hAnsi="Helvetica" w:cs="Helvetica"/>
          <w:i/>
          <w:iCs/>
          <w:color w:val="444444"/>
          <w:sz w:val="21"/>
          <w:szCs w:val="21"/>
        </w:rPr>
        <w:t xml:space="preserve">Not excusing </w:t>
      </w:r>
      <w:proofErr w:type="spellStart"/>
      <w:r w:rsidRPr="00C91562">
        <w:rPr>
          <w:rFonts w:ascii="Helvetica" w:eastAsia="Times New Roman" w:hAnsi="Helvetica" w:cs="Helvetica"/>
          <w:i/>
          <w:iCs/>
          <w:color w:val="444444"/>
          <w:sz w:val="21"/>
          <w:szCs w:val="21"/>
        </w:rPr>
        <w:t>Mikelia’s</w:t>
      </w:r>
      <w:proofErr w:type="spellEnd"/>
      <w:r w:rsidRPr="00C91562">
        <w:rPr>
          <w:rFonts w:ascii="Helvetica" w:eastAsia="Times New Roman" w:hAnsi="Helvetica" w:cs="Helvetica"/>
          <w:i/>
          <w:iCs/>
          <w:color w:val="444444"/>
          <w:sz w:val="21"/>
          <w:szCs w:val="21"/>
        </w:rPr>
        <w:t xml:space="preserve"> medically necessary absences;</w:t>
      </w:r>
    </w:p>
    <w:p w:rsidR="00C91562" w:rsidRPr="00C91562" w:rsidRDefault="00C91562" w:rsidP="0048786D">
      <w:pPr>
        <w:spacing w:after="120" w:line="240" w:lineRule="auto"/>
        <w:jc w:val="both"/>
        <w:rPr>
          <w:rFonts w:ascii="Helvetica" w:eastAsia="Times New Roman" w:hAnsi="Helvetica" w:cs="Helvetica"/>
          <w:i/>
          <w:iCs/>
          <w:color w:val="444444"/>
          <w:sz w:val="21"/>
          <w:szCs w:val="21"/>
        </w:rPr>
      </w:pPr>
      <w:r w:rsidRPr="00C91562">
        <w:rPr>
          <w:rFonts w:ascii="Helvetica" w:eastAsia="Times New Roman" w:hAnsi="Helvetica" w:cs="Helvetica"/>
          <w:i/>
          <w:iCs/>
          <w:color w:val="444444"/>
          <w:sz w:val="21"/>
          <w:szCs w:val="21"/>
        </w:rPr>
        <w:t xml:space="preserve">Denying </w:t>
      </w:r>
      <w:proofErr w:type="spellStart"/>
      <w:r w:rsidRPr="00C91562">
        <w:rPr>
          <w:rFonts w:ascii="Helvetica" w:eastAsia="Times New Roman" w:hAnsi="Helvetica" w:cs="Helvetica"/>
          <w:i/>
          <w:iCs/>
          <w:color w:val="444444"/>
          <w:sz w:val="21"/>
          <w:szCs w:val="21"/>
        </w:rPr>
        <w:t>Mikelia</w:t>
      </w:r>
      <w:proofErr w:type="spellEnd"/>
      <w:r w:rsidRPr="00C91562">
        <w:rPr>
          <w:rFonts w:ascii="Helvetica" w:eastAsia="Times New Roman" w:hAnsi="Helvetica" w:cs="Helvetica"/>
          <w:i/>
          <w:iCs/>
          <w:color w:val="444444"/>
          <w:sz w:val="21"/>
          <w:szCs w:val="21"/>
        </w:rPr>
        <w:t xml:space="preserve"> homebound instruction despite her eligibility for homebound instruction;</w:t>
      </w:r>
    </w:p>
    <w:p w:rsidR="00C91562" w:rsidRPr="00C91562" w:rsidRDefault="00C91562" w:rsidP="0048786D">
      <w:pPr>
        <w:spacing w:after="120" w:line="240" w:lineRule="auto"/>
        <w:jc w:val="both"/>
        <w:rPr>
          <w:rFonts w:ascii="Helvetica" w:eastAsia="Times New Roman" w:hAnsi="Helvetica" w:cs="Helvetica"/>
          <w:i/>
          <w:iCs/>
          <w:color w:val="444444"/>
          <w:sz w:val="21"/>
          <w:szCs w:val="21"/>
        </w:rPr>
      </w:pPr>
      <w:r w:rsidRPr="00C91562">
        <w:rPr>
          <w:rFonts w:ascii="Helvetica" w:eastAsia="Times New Roman" w:hAnsi="Helvetica" w:cs="Helvetica"/>
          <w:i/>
          <w:iCs/>
          <w:color w:val="444444"/>
          <w:sz w:val="21"/>
          <w:szCs w:val="21"/>
        </w:rPr>
        <w:t xml:space="preserve">Discouraging </w:t>
      </w:r>
      <w:proofErr w:type="spellStart"/>
      <w:r w:rsidRPr="00C91562">
        <w:rPr>
          <w:rFonts w:ascii="Helvetica" w:eastAsia="Times New Roman" w:hAnsi="Helvetica" w:cs="Helvetica"/>
          <w:i/>
          <w:iCs/>
          <w:color w:val="444444"/>
          <w:sz w:val="21"/>
          <w:szCs w:val="21"/>
        </w:rPr>
        <w:t>Mikelia</w:t>
      </w:r>
      <w:proofErr w:type="spellEnd"/>
      <w:r w:rsidRPr="00C91562">
        <w:rPr>
          <w:rFonts w:ascii="Helvetica" w:eastAsia="Times New Roman" w:hAnsi="Helvetica" w:cs="Helvetica"/>
          <w:i/>
          <w:iCs/>
          <w:color w:val="444444"/>
          <w:sz w:val="21"/>
          <w:szCs w:val="21"/>
        </w:rPr>
        <w:t xml:space="preserve"> from continuing her studies while she was on bed rest and recovering from childbirth by telling her that that work would not “count” for credit;</w:t>
      </w:r>
    </w:p>
    <w:p w:rsidR="00C91562" w:rsidRPr="00C91562" w:rsidRDefault="00C91562" w:rsidP="00C91562">
      <w:pPr>
        <w:spacing w:after="360" w:line="240" w:lineRule="auto"/>
        <w:jc w:val="both"/>
        <w:rPr>
          <w:rFonts w:ascii="Helvetica" w:eastAsia="Times New Roman" w:hAnsi="Helvetica" w:cs="Helvetica"/>
          <w:i/>
          <w:iCs/>
          <w:color w:val="444444"/>
          <w:sz w:val="21"/>
          <w:szCs w:val="21"/>
        </w:rPr>
      </w:pPr>
      <w:r w:rsidRPr="00C91562">
        <w:rPr>
          <w:rFonts w:ascii="Helvetica" w:eastAsia="Times New Roman" w:hAnsi="Helvetica" w:cs="Helvetica"/>
          <w:i/>
          <w:iCs/>
          <w:color w:val="444444"/>
          <w:sz w:val="21"/>
          <w:szCs w:val="21"/>
        </w:rPr>
        <w:t xml:space="preserve">Not giving </w:t>
      </w:r>
      <w:proofErr w:type="spellStart"/>
      <w:r w:rsidRPr="00C91562">
        <w:rPr>
          <w:rFonts w:ascii="Helvetica" w:eastAsia="Times New Roman" w:hAnsi="Helvetica" w:cs="Helvetica"/>
          <w:i/>
          <w:iCs/>
          <w:color w:val="444444"/>
          <w:sz w:val="21"/>
          <w:szCs w:val="21"/>
        </w:rPr>
        <w:t>Mikelia</w:t>
      </w:r>
      <w:proofErr w:type="spellEnd"/>
      <w:r w:rsidRPr="00C91562">
        <w:rPr>
          <w:rFonts w:ascii="Helvetica" w:eastAsia="Times New Roman" w:hAnsi="Helvetica" w:cs="Helvetica"/>
          <w:i/>
          <w:iCs/>
          <w:color w:val="444444"/>
          <w:sz w:val="21"/>
          <w:szCs w:val="21"/>
        </w:rPr>
        <w:t xml:space="preserve"> credit for the work she did in Spring 2014, including the work she completed prior to going out on bed rest and during the period of time she was working from home while she was on bed rest; and</w:t>
      </w:r>
    </w:p>
    <w:p w:rsidR="00C91562" w:rsidRPr="00C91562" w:rsidRDefault="00C91562" w:rsidP="0048786D">
      <w:pPr>
        <w:spacing w:after="120" w:line="240" w:lineRule="auto"/>
        <w:jc w:val="both"/>
        <w:rPr>
          <w:rFonts w:ascii="Helvetica" w:eastAsia="Times New Roman" w:hAnsi="Helvetica" w:cs="Helvetica"/>
          <w:i/>
          <w:iCs/>
          <w:color w:val="444444"/>
          <w:sz w:val="21"/>
          <w:szCs w:val="21"/>
        </w:rPr>
      </w:pPr>
      <w:r w:rsidRPr="00C91562">
        <w:rPr>
          <w:rFonts w:ascii="Helvetica" w:eastAsia="Times New Roman" w:hAnsi="Helvetica" w:cs="Helvetica"/>
          <w:i/>
          <w:iCs/>
          <w:color w:val="444444"/>
          <w:sz w:val="21"/>
          <w:szCs w:val="21"/>
        </w:rPr>
        <w:lastRenderedPageBreak/>
        <w:t xml:space="preserve">Not allowing </w:t>
      </w:r>
      <w:proofErr w:type="spellStart"/>
      <w:r w:rsidRPr="00C91562">
        <w:rPr>
          <w:rFonts w:ascii="Helvetica" w:eastAsia="Times New Roman" w:hAnsi="Helvetica" w:cs="Helvetica"/>
          <w:i/>
          <w:iCs/>
          <w:color w:val="444444"/>
          <w:sz w:val="21"/>
          <w:szCs w:val="21"/>
        </w:rPr>
        <w:t>Mikelia</w:t>
      </w:r>
      <w:proofErr w:type="spellEnd"/>
      <w:r w:rsidRPr="00C91562">
        <w:rPr>
          <w:rFonts w:ascii="Helvetica" w:eastAsia="Times New Roman" w:hAnsi="Helvetica" w:cs="Helvetica"/>
          <w:i/>
          <w:iCs/>
          <w:color w:val="444444"/>
          <w:sz w:val="21"/>
          <w:szCs w:val="21"/>
        </w:rPr>
        <w:t xml:space="preserve"> to make up the work she missed, for full credit, while she was on bed rest and recovering from childbirth.</w:t>
      </w:r>
    </w:p>
    <w:p w:rsidR="00C91562" w:rsidRPr="00C91562" w:rsidRDefault="00C91562" w:rsidP="0048786D">
      <w:pPr>
        <w:spacing w:after="120" w:line="240" w:lineRule="auto"/>
        <w:jc w:val="both"/>
        <w:rPr>
          <w:rFonts w:ascii="Helvetica" w:eastAsia="Times New Roman" w:hAnsi="Helvetica" w:cs="Helvetica"/>
          <w:color w:val="444444"/>
          <w:sz w:val="21"/>
          <w:szCs w:val="21"/>
        </w:rPr>
      </w:pPr>
      <w:r w:rsidRPr="00C91562">
        <w:rPr>
          <w:rFonts w:ascii="Helvetica" w:eastAsia="Times New Roman" w:hAnsi="Helvetica" w:cs="Helvetica"/>
          <w:color w:val="444444"/>
          <w:sz w:val="21"/>
          <w:szCs w:val="21"/>
        </w:rPr>
        <w:t xml:space="preserve">We will continue to provide updates on this case and other Title IX cases in future editions of the </w:t>
      </w:r>
      <w:r w:rsidRPr="00C91562">
        <w:rPr>
          <w:rFonts w:ascii="Helvetica" w:eastAsia="Times New Roman" w:hAnsi="Helvetica" w:cs="Helvetica"/>
          <w:i/>
          <w:iCs/>
          <w:color w:val="444444"/>
          <w:sz w:val="21"/>
          <w:szCs w:val="21"/>
        </w:rPr>
        <w:t>Education Law Alert</w:t>
      </w:r>
      <w:r w:rsidRPr="00C91562">
        <w:rPr>
          <w:rFonts w:ascii="Helvetica" w:eastAsia="Times New Roman" w:hAnsi="Helvetica" w:cs="Helvetica"/>
          <w:color w:val="444444"/>
          <w:sz w:val="21"/>
          <w:szCs w:val="21"/>
        </w:rPr>
        <w:t>.</w:t>
      </w:r>
    </w:p>
    <w:p w:rsidR="00C91562" w:rsidRPr="00C91562" w:rsidRDefault="00C91562" w:rsidP="0048786D">
      <w:pPr>
        <w:spacing w:after="240" w:line="240" w:lineRule="auto"/>
        <w:jc w:val="both"/>
        <w:rPr>
          <w:rFonts w:ascii="Helvetica" w:eastAsia="Times New Roman" w:hAnsi="Helvetica" w:cs="Helvetica"/>
          <w:color w:val="444444"/>
          <w:sz w:val="21"/>
          <w:szCs w:val="21"/>
        </w:rPr>
      </w:pPr>
      <w:r w:rsidRPr="00C91562">
        <w:rPr>
          <w:rFonts w:ascii="Helvetica" w:eastAsia="Times New Roman" w:hAnsi="Helvetica" w:cs="Helvetica"/>
          <w:color w:val="444444"/>
          <w:sz w:val="21"/>
          <w:szCs w:val="21"/>
        </w:rPr>
        <w:t xml:space="preserve">Source: </w:t>
      </w:r>
      <w:hyperlink r:id="rId17" w:history="1">
        <w:r w:rsidRPr="00C91562">
          <w:rPr>
            <w:rFonts w:ascii="Helvetica" w:eastAsia="Times New Roman" w:hAnsi="Helvetica" w:cs="Helvetica"/>
            <w:color w:val="21759B"/>
            <w:sz w:val="21"/>
            <w:szCs w:val="21"/>
          </w:rPr>
          <w:t>WTXL</w:t>
        </w:r>
      </w:hyperlink>
      <w:r w:rsidRPr="00C91562">
        <w:rPr>
          <w:rFonts w:ascii="Helvetica" w:eastAsia="Times New Roman" w:hAnsi="Helvetica" w:cs="Helvetica"/>
          <w:color w:val="444444"/>
          <w:sz w:val="21"/>
          <w:szCs w:val="21"/>
        </w:rPr>
        <w:t xml:space="preserve">; </w:t>
      </w:r>
      <w:hyperlink r:id="rId18" w:history="1">
        <w:r w:rsidRPr="00C91562">
          <w:rPr>
            <w:rFonts w:ascii="Helvetica" w:eastAsia="Times New Roman" w:hAnsi="Helvetica" w:cs="Helvetica"/>
            <w:color w:val="21759B"/>
            <w:sz w:val="21"/>
            <w:szCs w:val="21"/>
          </w:rPr>
          <w:t>National Women’s Law Center (Copy of Complaint)</w:t>
        </w:r>
      </w:hyperlink>
      <w:r w:rsidRPr="00C91562">
        <w:rPr>
          <w:rFonts w:ascii="Helvetica" w:eastAsia="Times New Roman" w:hAnsi="Helvetica" w:cs="Helvetica"/>
          <w:color w:val="444444"/>
          <w:sz w:val="21"/>
          <w:szCs w:val="21"/>
        </w:rPr>
        <w:t>.</w:t>
      </w:r>
    </w:p>
    <w:p w:rsidR="00C91562" w:rsidRPr="00C91562" w:rsidRDefault="00C91562" w:rsidP="0048786D">
      <w:pPr>
        <w:spacing w:after="120" w:line="240" w:lineRule="auto"/>
        <w:jc w:val="center"/>
        <w:rPr>
          <w:rFonts w:ascii="Helvetica" w:eastAsia="Times New Roman" w:hAnsi="Helvetica" w:cs="Helvetica"/>
          <w:color w:val="444444"/>
          <w:sz w:val="21"/>
          <w:szCs w:val="21"/>
        </w:rPr>
      </w:pPr>
      <w:r w:rsidRPr="00C91562">
        <w:rPr>
          <w:rFonts w:ascii="Helvetica" w:eastAsia="Times New Roman" w:hAnsi="Helvetica" w:cs="Helvetica"/>
          <w:b/>
          <w:bCs/>
          <w:color w:val="444444"/>
          <w:sz w:val="21"/>
          <w:szCs w:val="21"/>
          <w:u w:val="single"/>
        </w:rPr>
        <w:t xml:space="preserve">US DOE Issues Guidance to School Districts on Keeping Parents </w:t>
      </w:r>
      <w:r w:rsidR="0048786D">
        <w:rPr>
          <w:rFonts w:ascii="Helvetica" w:eastAsia="Times New Roman" w:hAnsi="Helvetica" w:cs="Helvetica"/>
          <w:b/>
          <w:bCs/>
          <w:color w:val="444444"/>
          <w:sz w:val="21"/>
          <w:szCs w:val="21"/>
          <w:u w:val="single"/>
        </w:rPr>
        <w:br/>
      </w:r>
      <w:r w:rsidRPr="00C91562">
        <w:rPr>
          <w:rFonts w:ascii="Helvetica" w:eastAsia="Times New Roman" w:hAnsi="Helvetica" w:cs="Helvetica"/>
          <w:b/>
          <w:bCs/>
          <w:color w:val="444444"/>
          <w:sz w:val="21"/>
          <w:szCs w:val="21"/>
          <w:u w:val="single"/>
        </w:rPr>
        <w:t>Informed on Collection of Student Data</w:t>
      </w:r>
    </w:p>
    <w:p w:rsidR="00C91562" w:rsidRPr="00C91562" w:rsidRDefault="00C91562" w:rsidP="0048786D">
      <w:pPr>
        <w:spacing w:after="120" w:line="240" w:lineRule="auto"/>
        <w:jc w:val="both"/>
        <w:rPr>
          <w:rFonts w:ascii="Helvetica" w:eastAsia="Times New Roman" w:hAnsi="Helvetica" w:cs="Helvetica"/>
          <w:color w:val="444444"/>
          <w:sz w:val="21"/>
          <w:szCs w:val="21"/>
        </w:rPr>
      </w:pPr>
      <w:r w:rsidRPr="00C91562">
        <w:rPr>
          <w:rFonts w:ascii="Helvetica" w:eastAsia="Times New Roman" w:hAnsi="Helvetica" w:cs="Helvetica"/>
          <w:color w:val="444444"/>
          <w:sz w:val="21"/>
          <w:szCs w:val="21"/>
        </w:rPr>
        <w:t xml:space="preserve">This month, the US DOE issued a </w:t>
      </w:r>
      <w:hyperlink r:id="rId19" w:history="1">
        <w:r w:rsidRPr="00C91562">
          <w:rPr>
            <w:rFonts w:ascii="Helvetica" w:eastAsia="Times New Roman" w:hAnsi="Helvetica" w:cs="Helvetica"/>
            <w:color w:val="21759B"/>
            <w:sz w:val="21"/>
            <w:szCs w:val="21"/>
          </w:rPr>
          <w:t>press release</w:t>
        </w:r>
      </w:hyperlink>
      <w:r w:rsidRPr="00C91562">
        <w:rPr>
          <w:rFonts w:ascii="Helvetica" w:eastAsia="Times New Roman" w:hAnsi="Helvetica" w:cs="Helvetica"/>
          <w:color w:val="444444"/>
          <w:sz w:val="21"/>
          <w:szCs w:val="21"/>
        </w:rPr>
        <w:t xml:space="preserve"> and new guidance document “on how to keep parents and students better informed about what student data is collected and how it is used.”  Additionally, US DOE announced a new website addressing the privacy and use of student records (</w:t>
      </w:r>
      <w:hyperlink r:id="rId20" w:history="1">
        <w:r w:rsidRPr="00C91562">
          <w:rPr>
            <w:rFonts w:ascii="Helvetica" w:eastAsia="Times New Roman" w:hAnsi="Helvetica" w:cs="Helvetica"/>
            <w:color w:val="21759B"/>
            <w:sz w:val="21"/>
            <w:szCs w:val="21"/>
          </w:rPr>
          <w:t>http://familypolicy.ed.gov</w:t>
        </w:r>
      </w:hyperlink>
      <w:r w:rsidRPr="00C91562">
        <w:rPr>
          <w:rFonts w:ascii="Helvetica" w:eastAsia="Times New Roman" w:hAnsi="Helvetica" w:cs="Helvetica"/>
          <w:color w:val="444444"/>
          <w:sz w:val="21"/>
          <w:szCs w:val="21"/>
        </w:rPr>
        <w:t>). US DOE’s press release and the guidance document recommend that school districts:</w:t>
      </w:r>
    </w:p>
    <w:p w:rsidR="00C91562" w:rsidRPr="00C91562" w:rsidRDefault="00C91562" w:rsidP="0048786D">
      <w:pPr>
        <w:spacing w:after="120" w:line="240" w:lineRule="auto"/>
        <w:jc w:val="both"/>
        <w:rPr>
          <w:rFonts w:ascii="Helvetica" w:eastAsia="Times New Roman" w:hAnsi="Helvetica" w:cs="Helvetica"/>
          <w:i/>
          <w:iCs/>
          <w:color w:val="444444"/>
          <w:sz w:val="21"/>
          <w:szCs w:val="21"/>
        </w:rPr>
      </w:pPr>
      <w:r w:rsidRPr="00C91562">
        <w:rPr>
          <w:rFonts w:ascii="Helvetica" w:eastAsia="Times New Roman" w:hAnsi="Helvetica" w:cs="Helvetica"/>
          <w:i/>
          <w:iCs/>
          <w:color w:val="444444"/>
          <w:sz w:val="21"/>
          <w:szCs w:val="21"/>
        </w:rPr>
        <w:t>Keep the lines of communication open;</w:t>
      </w:r>
    </w:p>
    <w:p w:rsidR="00C91562" w:rsidRPr="00C91562" w:rsidRDefault="00C91562" w:rsidP="0048786D">
      <w:pPr>
        <w:spacing w:after="120" w:line="240" w:lineRule="auto"/>
        <w:jc w:val="both"/>
        <w:rPr>
          <w:rFonts w:ascii="Helvetica" w:eastAsia="Times New Roman" w:hAnsi="Helvetica" w:cs="Helvetica"/>
          <w:i/>
          <w:iCs/>
          <w:color w:val="444444"/>
          <w:sz w:val="21"/>
          <w:szCs w:val="21"/>
        </w:rPr>
      </w:pPr>
      <w:r w:rsidRPr="00C91562">
        <w:rPr>
          <w:rFonts w:ascii="Helvetica" w:eastAsia="Times New Roman" w:hAnsi="Helvetica" w:cs="Helvetica"/>
          <w:i/>
          <w:iCs/>
          <w:color w:val="444444"/>
          <w:sz w:val="21"/>
          <w:szCs w:val="21"/>
        </w:rPr>
        <w:t>Review parental questions, concerns and suggestions in a thoughtful and careful manner;</w:t>
      </w:r>
    </w:p>
    <w:p w:rsidR="00C91562" w:rsidRPr="00C91562" w:rsidRDefault="00C91562" w:rsidP="0048786D">
      <w:pPr>
        <w:spacing w:after="120" w:line="240" w:lineRule="auto"/>
        <w:jc w:val="both"/>
        <w:rPr>
          <w:rFonts w:ascii="Helvetica" w:eastAsia="Times New Roman" w:hAnsi="Helvetica" w:cs="Helvetica"/>
          <w:i/>
          <w:iCs/>
          <w:color w:val="444444"/>
          <w:sz w:val="21"/>
          <w:szCs w:val="21"/>
        </w:rPr>
      </w:pPr>
      <w:r w:rsidRPr="00C91562">
        <w:rPr>
          <w:rFonts w:ascii="Helvetica" w:eastAsia="Times New Roman" w:hAnsi="Helvetica" w:cs="Helvetica"/>
          <w:i/>
          <w:iCs/>
          <w:color w:val="444444"/>
          <w:sz w:val="21"/>
          <w:szCs w:val="21"/>
        </w:rPr>
        <w:t>Respond to parental or student requests in a timely manner; and</w:t>
      </w:r>
    </w:p>
    <w:p w:rsidR="00C91562" w:rsidRPr="00C91562" w:rsidRDefault="00C91562" w:rsidP="0048786D">
      <w:pPr>
        <w:spacing w:after="120" w:line="240" w:lineRule="auto"/>
        <w:jc w:val="both"/>
        <w:rPr>
          <w:rFonts w:ascii="Helvetica" w:eastAsia="Times New Roman" w:hAnsi="Helvetica" w:cs="Helvetica"/>
          <w:i/>
          <w:iCs/>
          <w:color w:val="444444"/>
          <w:sz w:val="21"/>
          <w:szCs w:val="21"/>
        </w:rPr>
      </w:pPr>
      <w:r w:rsidRPr="00C91562">
        <w:rPr>
          <w:rFonts w:ascii="Helvetica" w:eastAsia="Times New Roman" w:hAnsi="Helvetica" w:cs="Helvetica"/>
          <w:i/>
          <w:iCs/>
          <w:color w:val="444444"/>
          <w:sz w:val="21"/>
          <w:szCs w:val="21"/>
        </w:rPr>
        <w:t>Periodically review old inquiries and resolutions to evaluate and improve communication and transparency efforts.</w:t>
      </w:r>
    </w:p>
    <w:p w:rsidR="00C91562" w:rsidRPr="00C91562" w:rsidRDefault="00C91562" w:rsidP="0048786D">
      <w:pPr>
        <w:spacing w:after="240" w:line="240" w:lineRule="auto"/>
        <w:jc w:val="both"/>
        <w:rPr>
          <w:rFonts w:ascii="Helvetica" w:eastAsia="Times New Roman" w:hAnsi="Helvetica" w:cs="Helvetica"/>
          <w:color w:val="444444"/>
          <w:sz w:val="21"/>
          <w:szCs w:val="21"/>
        </w:rPr>
      </w:pPr>
      <w:r w:rsidRPr="00C91562">
        <w:rPr>
          <w:rFonts w:ascii="Helvetica" w:eastAsia="Times New Roman" w:hAnsi="Helvetica" w:cs="Helvetica"/>
          <w:color w:val="444444"/>
          <w:sz w:val="21"/>
          <w:szCs w:val="21"/>
        </w:rPr>
        <w:t xml:space="preserve">The new guidance document is available at the following link: </w:t>
      </w:r>
      <w:hyperlink r:id="rId21" w:history="1">
        <w:r w:rsidRPr="00C91562">
          <w:rPr>
            <w:rFonts w:ascii="Helvetica" w:eastAsia="Times New Roman" w:hAnsi="Helvetica" w:cs="Helvetica"/>
            <w:color w:val="21759B"/>
            <w:sz w:val="21"/>
            <w:szCs w:val="21"/>
          </w:rPr>
          <w:t>Guidance</w:t>
        </w:r>
      </w:hyperlink>
      <w:r w:rsidRPr="00C91562">
        <w:rPr>
          <w:rFonts w:ascii="Helvetica" w:eastAsia="Times New Roman" w:hAnsi="Helvetica" w:cs="Helvetica"/>
          <w:color w:val="444444"/>
          <w:sz w:val="21"/>
          <w:szCs w:val="21"/>
        </w:rPr>
        <w:t>.</w:t>
      </w:r>
    </w:p>
    <w:p w:rsidR="00C91562" w:rsidRPr="00C91562" w:rsidRDefault="00C91562" w:rsidP="0048786D">
      <w:pPr>
        <w:spacing w:after="120" w:line="240" w:lineRule="auto"/>
        <w:jc w:val="center"/>
        <w:rPr>
          <w:rFonts w:ascii="Helvetica" w:eastAsia="Times New Roman" w:hAnsi="Helvetica" w:cs="Helvetica"/>
          <w:color w:val="444444"/>
          <w:sz w:val="21"/>
          <w:szCs w:val="21"/>
        </w:rPr>
      </w:pPr>
      <w:r w:rsidRPr="00C91562">
        <w:rPr>
          <w:rFonts w:ascii="Helvetica" w:eastAsia="Times New Roman" w:hAnsi="Helvetica" w:cs="Helvetica"/>
          <w:b/>
          <w:bCs/>
          <w:color w:val="444444"/>
          <w:sz w:val="21"/>
          <w:szCs w:val="21"/>
          <w:u w:val="single"/>
        </w:rPr>
        <w:t>From the Lighter Side: Making Money in his Sleep</w:t>
      </w:r>
    </w:p>
    <w:p w:rsidR="0048786D" w:rsidRDefault="00C91562" w:rsidP="0048786D">
      <w:pPr>
        <w:spacing w:after="120" w:line="240" w:lineRule="auto"/>
        <w:jc w:val="both"/>
        <w:rPr>
          <w:rFonts w:ascii="Helvetica" w:eastAsia="Times New Roman" w:hAnsi="Helvetica" w:cs="Helvetica"/>
          <w:color w:val="444444"/>
          <w:sz w:val="21"/>
          <w:szCs w:val="21"/>
        </w:rPr>
      </w:pPr>
      <w:r w:rsidRPr="00C91562">
        <w:rPr>
          <w:rFonts w:ascii="Helvetica" w:eastAsia="Times New Roman" w:hAnsi="Helvetica" w:cs="Helvetica"/>
          <w:color w:val="444444"/>
          <w:sz w:val="21"/>
          <w:szCs w:val="21"/>
        </w:rPr>
        <w:t>The Yankees-Red Sox rivalry is revered as one of the best rivalries in sports.  Unfortunately, one fan got a little drowsy and dozed off during the game.  Unbeknownst to the sleeping fan, the live TV camera panned on him, and the announcers proceeded to poke fun at him.  The fan subsequently filed a $10 million lawsuit alleging he was defamed and is now emotionally distraught.</w:t>
      </w:r>
    </w:p>
    <w:p w:rsidR="00C91562" w:rsidRPr="00C91562" w:rsidRDefault="00C91562" w:rsidP="00C91562">
      <w:pPr>
        <w:spacing w:after="360" w:line="240" w:lineRule="auto"/>
        <w:jc w:val="both"/>
        <w:rPr>
          <w:rFonts w:ascii="Helvetica" w:eastAsia="Times New Roman" w:hAnsi="Helvetica" w:cs="Helvetica"/>
          <w:color w:val="444444"/>
          <w:sz w:val="21"/>
          <w:szCs w:val="21"/>
        </w:rPr>
      </w:pPr>
      <w:r w:rsidRPr="00C91562">
        <w:rPr>
          <w:rFonts w:ascii="Helvetica" w:eastAsia="Times New Roman" w:hAnsi="Helvetica" w:cs="Helvetica"/>
          <w:color w:val="444444"/>
          <w:sz w:val="21"/>
          <w:szCs w:val="21"/>
        </w:rPr>
        <w:t xml:space="preserve">Source: </w:t>
      </w:r>
      <w:hyperlink r:id="rId22" w:history="1">
        <w:r w:rsidRPr="00C91562">
          <w:rPr>
            <w:rFonts w:ascii="Helvetica" w:eastAsia="Times New Roman" w:hAnsi="Helvetica" w:cs="Helvetica"/>
            <w:color w:val="21759B"/>
            <w:sz w:val="21"/>
            <w:szCs w:val="21"/>
          </w:rPr>
          <w:t>New York Post</w:t>
        </w:r>
      </w:hyperlink>
      <w:r w:rsidRPr="00C91562">
        <w:rPr>
          <w:rFonts w:ascii="Helvetica" w:eastAsia="Times New Roman" w:hAnsi="Helvetica" w:cs="Helvetica"/>
          <w:color w:val="444444"/>
          <w:sz w:val="21"/>
          <w:szCs w:val="21"/>
        </w:rPr>
        <w:t>.</w:t>
      </w:r>
    </w:p>
    <w:p w:rsidR="005464F8" w:rsidRDefault="005464F8" w:rsidP="005464F8"/>
    <w:sectPr w:rsidR="005464F8" w:rsidSect="005464F8">
      <w:pgSz w:w="12240" w:h="15840"/>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A"/>
    <w:rsid w:val="000141A4"/>
    <w:rsid w:val="001F7472"/>
    <w:rsid w:val="0048786D"/>
    <w:rsid w:val="005464F8"/>
    <w:rsid w:val="00C06C6A"/>
    <w:rsid w:val="00C9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6A"/>
    <w:rPr>
      <w:rFonts w:ascii="Tahoma" w:hAnsi="Tahoma" w:cs="Tahoma"/>
      <w:sz w:val="16"/>
      <w:szCs w:val="16"/>
    </w:rPr>
  </w:style>
  <w:style w:type="character" w:styleId="Strong">
    <w:name w:val="Strong"/>
    <w:basedOn w:val="DefaultParagraphFont"/>
    <w:uiPriority w:val="22"/>
    <w:qFormat/>
    <w:rsid w:val="00C915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6A"/>
    <w:rPr>
      <w:rFonts w:ascii="Tahoma" w:hAnsi="Tahoma" w:cs="Tahoma"/>
      <w:sz w:val="16"/>
      <w:szCs w:val="16"/>
    </w:rPr>
  </w:style>
  <w:style w:type="character" w:styleId="Strong">
    <w:name w:val="Strong"/>
    <w:basedOn w:val="DefaultParagraphFont"/>
    <w:uiPriority w:val="22"/>
    <w:qFormat/>
    <w:rsid w:val="00C915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93002">
      <w:bodyDiv w:val="1"/>
      <w:marLeft w:val="0"/>
      <w:marRight w:val="0"/>
      <w:marTop w:val="0"/>
      <w:marBottom w:val="0"/>
      <w:divBdr>
        <w:top w:val="none" w:sz="0" w:space="0" w:color="auto"/>
        <w:left w:val="none" w:sz="0" w:space="0" w:color="auto"/>
        <w:bottom w:val="none" w:sz="0" w:space="0" w:color="auto"/>
        <w:right w:val="none" w:sz="0" w:space="0" w:color="auto"/>
      </w:divBdr>
      <w:divsChild>
        <w:div w:id="1611279558">
          <w:marLeft w:val="0"/>
          <w:marRight w:val="0"/>
          <w:marTop w:val="0"/>
          <w:marBottom w:val="0"/>
          <w:divBdr>
            <w:top w:val="none" w:sz="0" w:space="0" w:color="auto"/>
            <w:left w:val="none" w:sz="0" w:space="0" w:color="auto"/>
            <w:bottom w:val="none" w:sz="0" w:space="0" w:color="auto"/>
            <w:right w:val="none" w:sz="0" w:space="0" w:color="auto"/>
          </w:divBdr>
          <w:divsChild>
            <w:div w:id="1042098144">
              <w:marLeft w:val="0"/>
              <w:marRight w:val="0"/>
              <w:marTop w:val="0"/>
              <w:marBottom w:val="0"/>
              <w:divBdr>
                <w:top w:val="none" w:sz="0" w:space="0" w:color="auto"/>
                <w:left w:val="none" w:sz="0" w:space="0" w:color="auto"/>
                <w:bottom w:val="none" w:sz="0" w:space="0" w:color="auto"/>
                <w:right w:val="none" w:sz="0" w:space="0" w:color="auto"/>
              </w:divBdr>
              <w:divsChild>
                <w:div w:id="203711920">
                  <w:marLeft w:val="0"/>
                  <w:marRight w:val="0"/>
                  <w:marTop w:val="0"/>
                  <w:marBottom w:val="0"/>
                  <w:divBdr>
                    <w:top w:val="none" w:sz="0" w:space="0" w:color="auto"/>
                    <w:left w:val="none" w:sz="0" w:space="0" w:color="auto"/>
                    <w:bottom w:val="none" w:sz="0" w:space="0" w:color="auto"/>
                    <w:right w:val="none" w:sz="0" w:space="0" w:color="auto"/>
                  </w:divBdr>
                  <w:divsChild>
                    <w:div w:id="2063794563">
                      <w:marLeft w:val="0"/>
                      <w:marRight w:val="0"/>
                      <w:marTop w:val="360"/>
                      <w:marBottom w:val="0"/>
                      <w:divBdr>
                        <w:top w:val="none" w:sz="0" w:space="0" w:color="auto"/>
                        <w:left w:val="none" w:sz="0" w:space="0" w:color="auto"/>
                        <w:bottom w:val="none" w:sz="0" w:space="0" w:color="auto"/>
                        <w:right w:val="none" w:sz="0" w:space="0" w:color="auto"/>
                      </w:divBdr>
                      <w:divsChild>
                        <w:div w:id="148525165">
                          <w:marLeft w:val="0"/>
                          <w:marRight w:val="0"/>
                          <w:marTop w:val="0"/>
                          <w:marBottom w:val="0"/>
                          <w:divBdr>
                            <w:top w:val="none" w:sz="0" w:space="0" w:color="auto"/>
                            <w:left w:val="none" w:sz="0" w:space="0" w:color="auto"/>
                            <w:bottom w:val="none" w:sz="0" w:space="0" w:color="auto"/>
                            <w:right w:val="none" w:sz="0" w:space="0" w:color="auto"/>
                          </w:divBdr>
                          <w:divsChild>
                            <w:div w:id="213467051">
                              <w:blockQuote w:val="1"/>
                              <w:marLeft w:val="720"/>
                              <w:marRight w:val="720"/>
                              <w:marTop w:val="100"/>
                              <w:marBottom w:val="360"/>
                              <w:divBdr>
                                <w:top w:val="none" w:sz="0" w:space="0" w:color="auto"/>
                                <w:left w:val="none" w:sz="0" w:space="0" w:color="auto"/>
                                <w:bottom w:val="none" w:sz="0" w:space="0" w:color="auto"/>
                                <w:right w:val="none" w:sz="0" w:space="0" w:color="auto"/>
                              </w:divBdr>
                            </w:div>
                            <w:div w:id="624316061">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remecourt.gov/opinions/12pdf/11-345_l5gm.pdf" TargetMode="External"/><Relationship Id="rId13" Type="http://schemas.openxmlformats.org/officeDocument/2006/relationships/hyperlink" Target="http://www.myfloridalegal.com/ago.nsf/Opinions/FFA361674B780AE085257CFD00650CCB" TargetMode="External"/><Relationship Id="rId18" Type="http://schemas.openxmlformats.org/officeDocument/2006/relationships/hyperlink" Target="http://www.nwlc.org/sites/default/files/pdfs/seals_complaint_final_-_redacted.pdf" TargetMode="External"/><Relationship Id="rId3" Type="http://schemas.openxmlformats.org/officeDocument/2006/relationships/settings" Target="settings.xml"/><Relationship Id="rId21" Type="http://schemas.openxmlformats.org/officeDocument/2006/relationships/hyperlink" Target="http://ptac.ed.gov/sites/default/files/LEA%20Transparency%20Best%20Practices%20final.pdf" TargetMode="External"/><Relationship Id="rId7" Type="http://schemas.openxmlformats.org/officeDocument/2006/relationships/hyperlink" Target="http://www.lrl.state.tx.us/scanned/archive/2008/5844.pdf" TargetMode="External"/><Relationship Id="rId12" Type="http://schemas.openxmlformats.org/officeDocument/2006/relationships/hyperlink" Target="http://media.ca11.uscourts.gov/opinions/unpub/files/201312395.pdf" TargetMode="External"/><Relationship Id="rId17" Type="http://schemas.openxmlformats.org/officeDocument/2006/relationships/hyperlink" Target="http://www.wtxl.com/news/ga-teen-sues-for-in-home-classes-during-pregnancy/article_11a73ab4-1364-11e4-beda-0017a43b2370.html" TargetMode="External"/><Relationship Id="rId2" Type="http://schemas.microsoft.com/office/2007/relationships/stylesWithEffects" Target="stylesWithEffects.xml"/><Relationship Id="rId16" Type="http://schemas.openxmlformats.org/officeDocument/2006/relationships/hyperlink" Target="http://www.insidehighered.com/quicktakes/2014/07/03/us-adds-12-institutions-title-ix-investigation-list" TargetMode="External"/><Relationship Id="rId20" Type="http://schemas.openxmlformats.org/officeDocument/2006/relationships/hyperlink" Target="http://familypolicy.ed.gov/" TargetMode="External"/><Relationship Id="rId1" Type="http://schemas.openxmlformats.org/officeDocument/2006/relationships/styles" Target="styles.xml"/><Relationship Id="rId6" Type="http://schemas.openxmlformats.org/officeDocument/2006/relationships/image" Target="cid:image001.jpg@01CF6950.C83BB4D0" TargetMode="External"/><Relationship Id="rId11" Type="http://schemas.openxmlformats.org/officeDocument/2006/relationships/hyperlink" Target="http://www.abajournal.com/news/article/transgender_student_baptist_college/"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2.ed.gov/about/offices/list/ocr/docs/qa-201404-title-ix.pdf" TargetMode="External"/><Relationship Id="rId23" Type="http://schemas.openxmlformats.org/officeDocument/2006/relationships/fontTable" Target="fontTable.xml"/><Relationship Id="rId10" Type="http://schemas.openxmlformats.org/officeDocument/2006/relationships/hyperlink" Target="http://schoollaw.pullcomblog.com/wp-content/uploads/2014/07/Varley-v.-Regional-School-District-No.-4-2014-WL-1814187.pdf" TargetMode="External"/><Relationship Id="rId19" Type="http://schemas.openxmlformats.org/officeDocument/2006/relationships/hyperlink" Target="http://www.ed.gov/news/press-releases/guidance-schools-issued-how-keep-parents-better-informed-data-they-collect-stude" TargetMode="External"/><Relationship Id="rId4" Type="http://schemas.openxmlformats.org/officeDocument/2006/relationships/webSettings" Target="webSettings.xml"/><Relationship Id="rId9" Type="http://schemas.openxmlformats.org/officeDocument/2006/relationships/hyperlink" Target="http://www.ca5.uscourts.gov/opinions/pub/09/09-50822-CV2.pdf" TargetMode="External"/><Relationship Id="rId14" Type="http://schemas.openxmlformats.org/officeDocument/2006/relationships/hyperlink" Target="http://www.ed.gov/news/press-releases/us-department-education-releases-list-higher-education-institutions-open-title-i" TargetMode="External"/><Relationship Id="rId22" Type="http://schemas.openxmlformats.org/officeDocument/2006/relationships/hyperlink" Target="http://nypost.com/2014/07/25/sleeping-yankees-fan-who-sued-for-10m-i-have-a-repu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2346</Words>
  <Characters>13375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Melton</dc:creator>
  <cp:lastModifiedBy>Ruth Melton</cp:lastModifiedBy>
  <cp:revision>2</cp:revision>
  <dcterms:created xsi:type="dcterms:W3CDTF">2014-08-14T14:09:00Z</dcterms:created>
  <dcterms:modified xsi:type="dcterms:W3CDTF">2014-08-14T14:09:00Z</dcterms:modified>
</cp:coreProperties>
</file>