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14" w:type="dxa"/>
        <w:tblLook w:val="04A0" w:firstRow="1" w:lastRow="0" w:firstColumn="1" w:lastColumn="0" w:noHBand="0" w:noVBand="1"/>
      </w:tblPr>
      <w:tblGrid>
        <w:gridCol w:w="1876"/>
        <w:gridCol w:w="7838"/>
      </w:tblGrid>
      <w:tr w:rsidR="00B30B98" w:rsidRPr="00C05912" w:rsidTr="00530D8C">
        <w:trPr>
          <w:trHeight w:val="722"/>
        </w:trPr>
        <w:tc>
          <w:tcPr>
            <w:tcW w:w="0" w:type="auto"/>
          </w:tcPr>
          <w:p w:rsidR="00B30B98" w:rsidRPr="00C05912" w:rsidRDefault="00B30B98">
            <w:pPr>
              <w:rPr>
                <w:sz w:val="28"/>
                <w:szCs w:val="28"/>
              </w:rPr>
            </w:pPr>
            <w:bookmarkStart w:id="0" w:name="_GoBack" w:colFirst="0" w:colLast="0"/>
            <w:r w:rsidRPr="00C05912">
              <w:rPr>
                <w:sz w:val="28"/>
                <w:szCs w:val="28"/>
              </w:rPr>
              <w:t>Alabama</w:t>
            </w:r>
            <w:r w:rsidR="00DE0979" w:rsidRPr="00C05912">
              <w:rPr>
                <w:sz w:val="28"/>
                <w:szCs w:val="28"/>
              </w:rPr>
              <w:t>*</w:t>
            </w:r>
          </w:p>
        </w:tc>
        <w:tc>
          <w:tcPr>
            <w:tcW w:w="0" w:type="auto"/>
          </w:tcPr>
          <w:p w:rsidR="00B30B98" w:rsidRPr="00C05912" w:rsidRDefault="00B30B98">
            <w:pPr>
              <w:rPr>
                <w:sz w:val="28"/>
                <w:szCs w:val="28"/>
              </w:rPr>
            </w:pPr>
            <w:r w:rsidRPr="00C05912">
              <w:rPr>
                <w:sz w:val="28"/>
                <w:szCs w:val="28"/>
              </w:rPr>
              <w:t>.005 times a local school board’s total state allocation, maximum of $15,000, no increase over $500 per year</w:t>
            </w:r>
          </w:p>
        </w:tc>
      </w:tr>
      <w:tr w:rsidR="00B30B98" w:rsidRPr="00C05912" w:rsidTr="00530D8C">
        <w:trPr>
          <w:trHeight w:val="722"/>
        </w:trPr>
        <w:tc>
          <w:tcPr>
            <w:tcW w:w="0" w:type="auto"/>
          </w:tcPr>
          <w:p w:rsidR="00B30B98" w:rsidRPr="00C05912" w:rsidRDefault="00B30B98">
            <w:pPr>
              <w:rPr>
                <w:sz w:val="28"/>
                <w:szCs w:val="28"/>
              </w:rPr>
            </w:pPr>
            <w:r w:rsidRPr="00C05912">
              <w:rPr>
                <w:sz w:val="28"/>
                <w:szCs w:val="28"/>
              </w:rPr>
              <w:t>Arkansas</w:t>
            </w:r>
            <w:r w:rsidR="00DE0979" w:rsidRPr="00C05912">
              <w:rPr>
                <w:sz w:val="28"/>
                <w:szCs w:val="28"/>
              </w:rPr>
              <w:t>*</w:t>
            </w:r>
          </w:p>
        </w:tc>
        <w:tc>
          <w:tcPr>
            <w:tcW w:w="0" w:type="auto"/>
          </w:tcPr>
          <w:p w:rsidR="00B30B98" w:rsidRPr="00C05912" w:rsidRDefault="00B30B98">
            <w:pPr>
              <w:rPr>
                <w:sz w:val="28"/>
                <w:szCs w:val="28"/>
              </w:rPr>
            </w:pPr>
            <w:r w:rsidRPr="00C05912">
              <w:rPr>
                <w:sz w:val="28"/>
                <w:szCs w:val="28"/>
              </w:rPr>
              <w:t>Actual annual revenue as published by the Arkansas Dept. of Education</w:t>
            </w:r>
          </w:p>
        </w:tc>
      </w:tr>
      <w:tr w:rsidR="00B30B98" w:rsidRPr="00C05912" w:rsidTr="00530D8C">
        <w:trPr>
          <w:trHeight w:val="362"/>
        </w:trPr>
        <w:tc>
          <w:tcPr>
            <w:tcW w:w="0" w:type="auto"/>
          </w:tcPr>
          <w:p w:rsidR="00B30B98" w:rsidRPr="00C05912" w:rsidRDefault="00B30B98">
            <w:pPr>
              <w:rPr>
                <w:sz w:val="28"/>
                <w:szCs w:val="28"/>
              </w:rPr>
            </w:pPr>
            <w:r w:rsidRPr="00C05912">
              <w:rPr>
                <w:sz w:val="28"/>
                <w:szCs w:val="28"/>
              </w:rPr>
              <w:t>Iowa</w:t>
            </w:r>
          </w:p>
        </w:tc>
        <w:tc>
          <w:tcPr>
            <w:tcW w:w="0" w:type="auto"/>
          </w:tcPr>
          <w:p w:rsidR="00B30B98" w:rsidRPr="00C05912" w:rsidRDefault="00B30B98">
            <w:pPr>
              <w:rPr>
                <w:sz w:val="28"/>
                <w:szCs w:val="28"/>
              </w:rPr>
            </w:pPr>
            <w:r w:rsidRPr="00C05912">
              <w:rPr>
                <w:sz w:val="28"/>
                <w:szCs w:val="28"/>
              </w:rPr>
              <w:t>General fund adjus</w:t>
            </w:r>
            <w:r w:rsidR="00BF154F">
              <w:rPr>
                <w:sz w:val="28"/>
                <w:szCs w:val="28"/>
              </w:rPr>
              <w:t>ted revenue with a maximum</w:t>
            </w:r>
          </w:p>
        </w:tc>
      </w:tr>
      <w:tr w:rsidR="00B30B98" w:rsidRPr="00C05912" w:rsidTr="00530D8C">
        <w:trPr>
          <w:trHeight w:val="722"/>
        </w:trPr>
        <w:tc>
          <w:tcPr>
            <w:tcW w:w="0" w:type="auto"/>
          </w:tcPr>
          <w:p w:rsidR="00B30B98" w:rsidRPr="00C05912" w:rsidRDefault="00B30B98">
            <w:pPr>
              <w:rPr>
                <w:sz w:val="28"/>
                <w:szCs w:val="28"/>
              </w:rPr>
            </w:pPr>
            <w:r w:rsidRPr="00C05912">
              <w:rPr>
                <w:sz w:val="28"/>
                <w:szCs w:val="28"/>
              </w:rPr>
              <w:t>Massachusetts</w:t>
            </w:r>
          </w:p>
        </w:tc>
        <w:tc>
          <w:tcPr>
            <w:tcW w:w="0" w:type="auto"/>
          </w:tcPr>
          <w:p w:rsidR="00B30B98" w:rsidRPr="00C05912" w:rsidRDefault="00402184">
            <w:pPr>
              <w:rPr>
                <w:sz w:val="28"/>
                <w:szCs w:val="28"/>
              </w:rPr>
            </w:pPr>
            <w:r w:rsidRPr="00C05912">
              <w:rPr>
                <w:sz w:val="28"/>
                <w:szCs w:val="28"/>
              </w:rPr>
              <w:t xml:space="preserve">Operating expenses – base dues within </w:t>
            </w:r>
            <w:r w:rsidR="00BF154F">
              <w:rPr>
                <w:sz w:val="28"/>
                <w:szCs w:val="28"/>
              </w:rPr>
              <w:t xml:space="preserve">a </w:t>
            </w:r>
            <w:r w:rsidRPr="00C05912">
              <w:rPr>
                <w:sz w:val="28"/>
                <w:szCs w:val="28"/>
              </w:rPr>
              <w:t>range plus $$ per 1,000 of expenditures over threshold (see chart)</w:t>
            </w:r>
          </w:p>
        </w:tc>
      </w:tr>
      <w:tr w:rsidR="00B30B98" w:rsidRPr="00C05912" w:rsidTr="00530D8C">
        <w:trPr>
          <w:trHeight w:val="1829"/>
        </w:trPr>
        <w:tc>
          <w:tcPr>
            <w:tcW w:w="0" w:type="auto"/>
          </w:tcPr>
          <w:p w:rsidR="00B30B98" w:rsidRPr="00C05912" w:rsidRDefault="00402184">
            <w:pPr>
              <w:rPr>
                <w:sz w:val="28"/>
                <w:szCs w:val="28"/>
              </w:rPr>
            </w:pPr>
            <w:r w:rsidRPr="00C05912">
              <w:rPr>
                <w:sz w:val="28"/>
                <w:szCs w:val="28"/>
              </w:rPr>
              <w:t>Montana</w:t>
            </w:r>
          </w:p>
        </w:tc>
        <w:tc>
          <w:tcPr>
            <w:tcW w:w="0" w:type="auto"/>
          </w:tcPr>
          <w:p w:rsidR="00B30B98" w:rsidRPr="00C05912" w:rsidRDefault="00402184">
            <w:pPr>
              <w:rPr>
                <w:sz w:val="28"/>
                <w:szCs w:val="28"/>
              </w:rPr>
            </w:pPr>
            <w:r w:rsidRPr="00C05912">
              <w:rPr>
                <w:sz w:val="28"/>
                <w:szCs w:val="28"/>
              </w:rPr>
              <w:t xml:space="preserve">Total </w:t>
            </w:r>
            <w:r w:rsidR="00BF154F">
              <w:rPr>
                <w:sz w:val="28"/>
                <w:szCs w:val="28"/>
              </w:rPr>
              <w:t xml:space="preserve">current spending of </w:t>
            </w:r>
            <w:r w:rsidRPr="00C05912">
              <w:rPr>
                <w:sz w:val="28"/>
                <w:szCs w:val="28"/>
              </w:rPr>
              <w:t xml:space="preserve">three years preceding </w:t>
            </w:r>
            <w:r w:rsidR="00BF154F">
              <w:rPr>
                <w:sz w:val="28"/>
                <w:szCs w:val="28"/>
              </w:rPr>
              <w:t xml:space="preserve">the dues year </w:t>
            </w:r>
            <w:r w:rsidRPr="00C05912">
              <w:rPr>
                <w:sz w:val="28"/>
                <w:szCs w:val="28"/>
              </w:rPr>
              <w:t>with various floors, caps and flat rates</w:t>
            </w:r>
            <w:r w:rsidR="00BF154F">
              <w:rPr>
                <w:sz w:val="28"/>
                <w:szCs w:val="28"/>
              </w:rPr>
              <w:t>,</w:t>
            </w:r>
            <w:r w:rsidRPr="00C05912">
              <w:rPr>
                <w:sz w:val="28"/>
                <w:szCs w:val="28"/>
              </w:rPr>
              <w:t xml:space="preserve"> adjusted by an inflation factor each year.  Bylaws also provide that when there is a reduction in members that the dues of the remaining members rise proportionally to prevent any loss of revenue.</w:t>
            </w:r>
          </w:p>
        </w:tc>
      </w:tr>
      <w:tr w:rsidR="00B30B98" w:rsidRPr="00C05912" w:rsidTr="00530D8C">
        <w:trPr>
          <w:trHeight w:val="745"/>
        </w:trPr>
        <w:tc>
          <w:tcPr>
            <w:tcW w:w="0" w:type="auto"/>
          </w:tcPr>
          <w:p w:rsidR="00B30B98" w:rsidRPr="00C05912" w:rsidRDefault="00402184">
            <w:pPr>
              <w:rPr>
                <w:sz w:val="28"/>
                <w:szCs w:val="28"/>
              </w:rPr>
            </w:pPr>
            <w:r w:rsidRPr="00C05912">
              <w:rPr>
                <w:sz w:val="28"/>
                <w:szCs w:val="28"/>
              </w:rPr>
              <w:t>North Carolina</w:t>
            </w:r>
            <w:r w:rsidR="00DE0979" w:rsidRPr="00C05912">
              <w:rPr>
                <w:sz w:val="28"/>
                <w:szCs w:val="28"/>
              </w:rPr>
              <w:t>*</w:t>
            </w:r>
          </w:p>
        </w:tc>
        <w:tc>
          <w:tcPr>
            <w:tcW w:w="0" w:type="auto"/>
          </w:tcPr>
          <w:p w:rsidR="00B30B98" w:rsidRPr="00C05912" w:rsidRDefault="00402184">
            <w:pPr>
              <w:rPr>
                <w:sz w:val="28"/>
                <w:szCs w:val="28"/>
              </w:rPr>
            </w:pPr>
            <w:r w:rsidRPr="00C05912">
              <w:rPr>
                <w:sz w:val="28"/>
                <w:szCs w:val="28"/>
              </w:rPr>
              <w:t>Total current expenditures by various classes with a  minimum and maximum per class,  total annual cap of 10%</w:t>
            </w:r>
          </w:p>
        </w:tc>
      </w:tr>
      <w:tr w:rsidR="00B30B98" w:rsidRPr="00C05912" w:rsidTr="00530D8C">
        <w:trPr>
          <w:trHeight w:val="722"/>
        </w:trPr>
        <w:tc>
          <w:tcPr>
            <w:tcW w:w="0" w:type="auto"/>
          </w:tcPr>
          <w:p w:rsidR="00B30B98" w:rsidRPr="00C05912" w:rsidRDefault="00402184">
            <w:pPr>
              <w:rPr>
                <w:sz w:val="28"/>
                <w:szCs w:val="28"/>
              </w:rPr>
            </w:pPr>
            <w:r w:rsidRPr="00C05912">
              <w:rPr>
                <w:sz w:val="28"/>
                <w:szCs w:val="28"/>
              </w:rPr>
              <w:t>Ohio</w:t>
            </w:r>
          </w:p>
        </w:tc>
        <w:tc>
          <w:tcPr>
            <w:tcW w:w="0" w:type="auto"/>
          </w:tcPr>
          <w:p w:rsidR="00B30B98" w:rsidRPr="00C05912" w:rsidRDefault="006D1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Various (30%-70%) of district cost per pupil based on categories of  average daily membership (ADM) </w:t>
            </w:r>
          </w:p>
        </w:tc>
      </w:tr>
      <w:tr w:rsidR="00B30B98" w:rsidRPr="00C05912" w:rsidTr="00530D8C">
        <w:trPr>
          <w:trHeight w:val="362"/>
        </w:trPr>
        <w:tc>
          <w:tcPr>
            <w:tcW w:w="0" w:type="auto"/>
          </w:tcPr>
          <w:p w:rsidR="00B30B98" w:rsidRPr="00C05912" w:rsidRDefault="00402184">
            <w:pPr>
              <w:rPr>
                <w:sz w:val="28"/>
                <w:szCs w:val="28"/>
              </w:rPr>
            </w:pPr>
            <w:r w:rsidRPr="00C05912">
              <w:rPr>
                <w:sz w:val="28"/>
                <w:szCs w:val="28"/>
              </w:rPr>
              <w:t>Tennessee</w:t>
            </w:r>
            <w:r w:rsidR="00DE0979" w:rsidRPr="00C05912">
              <w:rPr>
                <w:sz w:val="28"/>
                <w:szCs w:val="28"/>
              </w:rPr>
              <w:t>*</w:t>
            </w:r>
          </w:p>
        </w:tc>
        <w:tc>
          <w:tcPr>
            <w:tcW w:w="0" w:type="auto"/>
          </w:tcPr>
          <w:p w:rsidR="00B30B98" w:rsidRPr="00C05912" w:rsidRDefault="00DE0979">
            <w:pPr>
              <w:rPr>
                <w:sz w:val="28"/>
                <w:szCs w:val="28"/>
              </w:rPr>
            </w:pPr>
            <w:r w:rsidRPr="00C05912">
              <w:rPr>
                <w:sz w:val="28"/>
                <w:szCs w:val="28"/>
              </w:rPr>
              <w:t>Base fee of $600 plus graduated fee based on c</w:t>
            </w:r>
            <w:r w:rsidR="00402184" w:rsidRPr="00C05912">
              <w:rPr>
                <w:sz w:val="28"/>
                <w:szCs w:val="28"/>
              </w:rPr>
              <w:t xml:space="preserve">urrent expenditures </w:t>
            </w:r>
          </w:p>
        </w:tc>
      </w:tr>
      <w:tr w:rsidR="00B30B98" w:rsidRPr="00C05912" w:rsidTr="00530D8C">
        <w:trPr>
          <w:trHeight w:val="339"/>
        </w:trPr>
        <w:tc>
          <w:tcPr>
            <w:tcW w:w="0" w:type="auto"/>
          </w:tcPr>
          <w:p w:rsidR="00B30B98" w:rsidRPr="00C05912" w:rsidRDefault="00DE0979">
            <w:pPr>
              <w:rPr>
                <w:sz w:val="28"/>
                <w:szCs w:val="28"/>
              </w:rPr>
            </w:pPr>
            <w:r w:rsidRPr="00C05912">
              <w:rPr>
                <w:sz w:val="28"/>
                <w:szCs w:val="28"/>
              </w:rPr>
              <w:t>Texas*</w:t>
            </w:r>
          </w:p>
        </w:tc>
        <w:tc>
          <w:tcPr>
            <w:tcW w:w="0" w:type="auto"/>
          </w:tcPr>
          <w:p w:rsidR="00B30B98" w:rsidRPr="00C05912" w:rsidRDefault="00C635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Based on a district’s prior year “audited operating expenses” less debt service and capital outlay with a minimum of $800 and maximum of $11,000.</w:t>
            </w:r>
          </w:p>
        </w:tc>
      </w:tr>
      <w:tr w:rsidR="00B30B98" w:rsidRPr="00C05912" w:rsidTr="00530D8C">
        <w:trPr>
          <w:trHeight w:val="362"/>
        </w:trPr>
        <w:tc>
          <w:tcPr>
            <w:tcW w:w="0" w:type="auto"/>
          </w:tcPr>
          <w:p w:rsidR="00B30B98" w:rsidRPr="00C05912" w:rsidRDefault="00DE0979">
            <w:pPr>
              <w:rPr>
                <w:sz w:val="28"/>
                <w:szCs w:val="28"/>
              </w:rPr>
            </w:pPr>
            <w:r w:rsidRPr="00C05912">
              <w:rPr>
                <w:sz w:val="28"/>
                <w:szCs w:val="28"/>
              </w:rPr>
              <w:t>Wisconsin</w:t>
            </w:r>
          </w:p>
        </w:tc>
        <w:tc>
          <w:tcPr>
            <w:tcW w:w="0" w:type="auto"/>
          </w:tcPr>
          <w:p w:rsidR="00B30B98" w:rsidRPr="00C05912" w:rsidRDefault="00DE0979">
            <w:pPr>
              <w:rPr>
                <w:sz w:val="28"/>
                <w:szCs w:val="28"/>
              </w:rPr>
            </w:pPr>
            <w:r w:rsidRPr="00C05912">
              <w:rPr>
                <w:sz w:val="28"/>
                <w:szCs w:val="28"/>
              </w:rPr>
              <w:t>The number of professional staff employed</w:t>
            </w:r>
          </w:p>
        </w:tc>
      </w:tr>
      <w:tr w:rsidR="00DE0979" w:rsidRPr="00C05912" w:rsidTr="00530D8C">
        <w:trPr>
          <w:trHeight w:val="722"/>
        </w:trPr>
        <w:tc>
          <w:tcPr>
            <w:tcW w:w="0" w:type="auto"/>
          </w:tcPr>
          <w:p w:rsidR="00DE0979" w:rsidRPr="00C05912" w:rsidRDefault="00DE0979">
            <w:pPr>
              <w:rPr>
                <w:sz w:val="28"/>
                <w:szCs w:val="28"/>
              </w:rPr>
            </w:pPr>
            <w:r w:rsidRPr="00C05912">
              <w:rPr>
                <w:sz w:val="28"/>
                <w:szCs w:val="28"/>
              </w:rPr>
              <w:t>Georgia*</w:t>
            </w:r>
          </w:p>
        </w:tc>
        <w:tc>
          <w:tcPr>
            <w:tcW w:w="0" w:type="auto"/>
          </w:tcPr>
          <w:p w:rsidR="00DE0979" w:rsidRPr="00C05912" w:rsidRDefault="00DE0979">
            <w:pPr>
              <w:rPr>
                <w:sz w:val="28"/>
                <w:szCs w:val="28"/>
              </w:rPr>
            </w:pPr>
            <w:r w:rsidRPr="00C05912">
              <w:rPr>
                <w:sz w:val="28"/>
                <w:szCs w:val="28"/>
              </w:rPr>
              <w:t>$500 base amount plus $200 per $1 million in state receipts, cap of $15,000</w:t>
            </w:r>
          </w:p>
        </w:tc>
      </w:tr>
      <w:tr w:rsidR="00B30B98" w:rsidRPr="00C05912" w:rsidTr="00530D8C">
        <w:trPr>
          <w:trHeight w:val="722"/>
        </w:trPr>
        <w:tc>
          <w:tcPr>
            <w:tcW w:w="0" w:type="auto"/>
          </w:tcPr>
          <w:p w:rsidR="00B30B98" w:rsidRPr="00C05912" w:rsidRDefault="00933C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Mississippi*</w:t>
            </w:r>
          </w:p>
        </w:tc>
        <w:tc>
          <w:tcPr>
            <w:tcW w:w="0" w:type="auto"/>
          </w:tcPr>
          <w:p w:rsidR="00B30B98" w:rsidRDefault="00933C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Local revenue plus state revenue with minimum and maximum</w:t>
            </w:r>
          </w:p>
          <w:p w:rsidR="00933C77" w:rsidRPr="00C05912" w:rsidRDefault="00933C77">
            <w:pPr>
              <w:rPr>
                <w:sz w:val="28"/>
                <w:szCs w:val="28"/>
              </w:rPr>
            </w:pPr>
          </w:p>
        </w:tc>
      </w:tr>
      <w:tr w:rsidR="00B30B98" w:rsidRPr="00C05912" w:rsidTr="005E0E58">
        <w:trPr>
          <w:trHeight w:val="908"/>
        </w:trPr>
        <w:tc>
          <w:tcPr>
            <w:tcW w:w="0" w:type="auto"/>
          </w:tcPr>
          <w:p w:rsidR="00B30B98" w:rsidRPr="00C05912" w:rsidRDefault="00530D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Virginia</w:t>
            </w:r>
          </w:p>
        </w:tc>
        <w:tc>
          <w:tcPr>
            <w:tcW w:w="0" w:type="auto"/>
          </w:tcPr>
          <w:p w:rsidR="00B30B98" w:rsidRPr="00C05912" w:rsidRDefault="00530D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“multi-factor” based on total funds (local, state, state retail sales tax, and federal)</w:t>
            </w:r>
          </w:p>
        </w:tc>
      </w:tr>
      <w:tr w:rsidR="005E0E58" w:rsidRPr="00C05912" w:rsidTr="005E0E58">
        <w:trPr>
          <w:trHeight w:val="908"/>
        </w:trPr>
        <w:tc>
          <w:tcPr>
            <w:tcW w:w="0" w:type="auto"/>
          </w:tcPr>
          <w:p w:rsidR="005E0E58" w:rsidRDefault="005E0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South Carolina*</w:t>
            </w:r>
          </w:p>
        </w:tc>
        <w:tc>
          <w:tcPr>
            <w:tcW w:w="0" w:type="auto"/>
          </w:tcPr>
          <w:p w:rsidR="005E0E58" w:rsidRDefault="005E0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Calculated rates are based on SCSBA’s operating budget and info. </w:t>
            </w:r>
            <w:proofErr w:type="gramStart"/>
            <w:r>
              <w:rPr>
                <w:sz w:val="28"/>
                <w:szCs w:val="28"/>
              </w:rPr>
              <w:t>from</w:t>
            </w:r>
            <w:proofErr w:type="gramEnd"/>
            <w:r>
              <w:rPr>
                <w:sz w:val="28"/>
                <w:szCs w:val="28"/>
              </w:rPr>
              <w:t xml:space="preserve"> DOE with a base of $1,200, a maximum of $40,000 and variance not to exceed $5,000.</w:t>
            </w:r>
          </w:p>
        </w:tc>
      </w:tr>
    </w:tbl>
    <w:bookmarkEnd w:id="0"/>
    <w:p w:rsidR="00AE6C42" w:rsidRDefault="00933C77">
      <w:r>
        <w:t>*southern region states</w:t>
      </w:r>
    </w:p>
    <w:sectPr w:rsidR="00AE6C4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B4F" w:rsidRDefault="006F4B4F" w:rsidP="006F4B4F">
      <w:pPr>
        <w:spacing w:after="0" w:line="240" w:lineRule="auto"/>
      </w:pPr>
      <w:r>
        <w:separator/>
      </w:r>
    </w:p>
  </w:endnote>
  <w:endnote w:type="continuationSeparator" w:id="0">
    <w:p w:rsidR="006F4B4F" w:rsidRDefault="006F4B4F" w:rsidP="006F4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B4F" w:rsidRDefault="006F4B4F" w:rsidP="006F4B4F">
      <w:pPr>
        <w:spacing w:after="0" w:line="240" w:lineRule="auto"/>
      </w:pPr>
      <w:r>
        <w:separator/>
      </w:r>
    </w:p>
  </w:footnote>
  <w:footnote w:type="continuationSeparator" w:id="0">
    <w:p w:rsidR="006F4B4F" w:rsidRDefault="006F4B4F" w:rsidP="006F4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B4F" w:rsidRPr="006F4B4F" w:rsidRDefault="006F4B4F" w:rsidP="006F4B4F">
    <w:pPr>
      <w:pStyle w:val="Header"/>
      <w:jc w:val="center"/>
      <w:rPr>
        <w:b/>
        <w:sz w:val="32"/>
        <w:szCs w:val="32"/>
      </w:rPr>
    </w:pPr>
    <w:r w:rsidRPr="006F4B4F">
      <w:rPr>
        <w:b/>
        <w:sz w:val="32"/>
        <w:szCs w:val="32"/>
      </w:rPr>
      <w:t>State School Board Associations Dues Structures</w:t>
    </w:r>
  </w:p>
  <w:p w:rsidR="006F4B4F" w:rsidRDefault="006F4B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B98"/>
    <w:rsid w:val="00402184"/>
    <w:rsid w:val="00530D8C"/>
    <w:rsid w:val="005E0E58"/>
    <w:rsid w:val="006D1787"/>
    <w:rsid w:val="006F4B4F"/>
    <w:rsid w:val="00933C77"/>
    <w:rsid w:val="00AE6C42"/>
    <w:rsid w:val="00B30B98"/>
    <w:rsid w:val="00BF154F"/>
    <w:rsid w:val="00C05912"/>
    <w:rsid w:val="00C635EB"/>
    <w:rsid w:val="00D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4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B4F"/>
  </w:style>
  <w:style w:type="paragraph" w:styleId="Footer">
    <w:name w:val="footer"/>
    <w:basedOn w:val="Normal"/>
    <w:link w:val="FooterChar"/>
    <w:uiPriority w:val="99"/>
    <w:unhideWhenUsed/>
    <w:rsid w:val="006F4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B4F"/>
  </w:style>
  <w:style w:type="paragraph" w:styleId="BalloonText">
    <w:name w:val="Balloon Text"/>
    <w:basedOn w:val="Normal"/>
    <w:link w:val="BalloonTextChar"/>
    <w:uiPriority w:val="99"/>
    <w:semiHidden/>
    <w:unhideWhenUsed/>
    <w:rsid w:val="006F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B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4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B4F"/>
  </w:style>
  <w:style w:type="paragraph" w:styleId="Footer">
    <w:name w:val="footer"/>
    <w:basedOn w:val="Normal"/>
    <w:link w:val="FooterChar"/>
    <w:uiPriority w:val="99"/>
    <w:unhideWhenUsed/>
    <w:rsid w:val="006F4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B4F"/>
  </w:style>
  <w:style w:type="paragraph" w:styleId="BalloonText">
    <w:name w:val="Balloon Text"/>
    <w:basedOn w:val="Normal"/>
    <w:link w:val="BalloonTextChar"/>
    <w:uiPriority w:val="99"/>
    <w:semiHidden/>
    <w:unhideWhenUsed/>
    <w:rsid w:val="006F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9EC3D22F.dotm</Template>
  <TotalTime>88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Dunlap</dc:creator>
  <cp:lastModifiedBy>Leslie Dunlap</cp:lastModifiedBy>
  <cp:revision>7</cp:revision>
  <cp:lastPrinted>2016-06-01T12:47:00Z</cp:lastPrinted>
  <dcterms:created xsi:type="dcterms:W3CDTF">2016-05-23T15:05:00Z</dcterms:created>
  <dcterms:modified xsi:type="dcterms:W3CDTF">2016-06-01T12:50:00Z</dcterms:modified>
</cp:coreProperties>
</file>