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D1" w:rsidRDefault="005B77D1" w:rsidP="007939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118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nch high logo with word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54" b="64330"/>
                    <a:stretch/>
                  </pic:blipFill>
                  <pic:spPr bwMode="auto"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7D1" w:rsidRDefault="005B77D1" w:rsidP="0079397B">
      <w:pPr>
        <w:rPr>
          <w:rFonts w:ascii="Times New Roman" w:hAnsi="Times New Roman" w:cs="Times New Roman"/>
          <w:b/>
        </w:rPr>
      </w:pPr>
    </w:p>
    <w:p w:rsidR="005B77D1" w:rsidRPr="00424B4A" w:rsidRDefault="004F4AF1" w:rsidP="0079397B">
      <w:pPr>
        <w:rPr>
          <w:rFonts w:asciiTheme="majorHAnsi" w:hAnsiTheme="majorHAnsi" w:cstheme="majorHAnsi"/>
          <w:b/>
        </w:rPr>
      </w:pPr>
      <w:r w:rsidRPr="00424B4A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142240</wp:posOffset>
            </wp:positionV>
            <wp:extent cx="1314450" cy="1674495"/>
            <wp:effectExtent l="0" t="0" r="0" b="1905"/>
            <wp:wrapTight wrapText="bothSides">
              <wp:wrapPolygon edited="0">
                <wp:start x="0" y="0"/>
                <wp:lineTo x="0" y="21379"/>
                <wp:lineTo x="21287" y="21379"/>
                <wp:lineTo x="2128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Ethics logo large 20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B12" w:rsidRPr="00424B4A" w:rsidRDefault="0079397B" w:rsidP="0079397B">
      <w:pPr>
        <w:rPr>
          <w:rFonts w:asciiTheme="majorHAnsi" w:hAnsiTheme="majorHAnsi" w:cstheme="majorHAnsi"/>
          <w:sz w:val="26"/>
          <w:szCs w:val="26"/>
        </w:rPr>
      </w:pPr>
      <w:r w:rsidRPr="00424B4A">
        <w:rPr>
          <w:rFonts w:asciiTheme="majorHAnsi" w:hAnsiTheme="majorHAnsi" w:cstheme="majorHAnsi"/>
          <w:b/>
          <w:sz w:val="26"/>
          <w:szCs w:val="26"/>
        </w:rPr>
        <w:t xml:space="preserve">Thank you for registering for the </w:t>
      </w:r>
      <w:r w:rsidR="00C63D75" w:rsidRPr="00424B4A">
        <w:rPr>
          <w:rFonts w:asciiTheme="majorHAnsi" w:hAnsiTheme="majorHAnsi" w:cstheme="majorHAnsi"/>
          <w:b/>
          <w:i/>
          <w:sz w:val="26"/>
          <w:szCs w:val="26"/>
        </w:rPr>
        <w:t xml:space="preserve">Where Do You Draw the Line? </w:t>
      </w:r>
      <w:r w:rsidRPr="00424B4A">
        <w:rPr>
          <w:rFonts w:asciiTheme="majorHAnsi" w:hAnsiTheme="majorHAnsi" w:cstheme="majorHAnsi"/>
          <w:b/>
          <w:i/>
          <w:sz w:val="26"/>
          <w:szCs w:val="26"/>
        </w:rPr>
        <w:t>Ethics Training for School Officials</w:t>
      </w:r>
      <w:r w:rsidRPr="00424B4A">
        <w:rPr>
          <w:rFonts w:asciiTheme="majorHAnsi" w:hAnsiTheme="majorHAnsi" w:cstheme="majorHAnsi"/>
          <w:b/>
          <w:sz w:val="26"/>
          <w:szCs w:val="26"/>
        </w:rPr>
        <w:t xml:space="preserve"> online course</w:t>
      </w:r>
      <w:r w:rsidRPr="00424B4A">
        <w:rPr>
          <w:rFonts w:asciiTheme="majorHAnsi" w:hAnsiTheme="majorHAnsi" w:cstheme="majorHAnsi"/>
          <w:sz w:val="26"/>
          <w:szCs w:val="26"/>
        </w:rPr>
        <w:t xml:space="preserve">. </w:t>
      </w:r>
      <w:r w:rsidR="00C63D75" w:rsidRPr="00424B4A">
        <w:rPr>
          <w:rFonts w:asciiTheme="majorHAnsi" w:hAnsiTheme="majorHAnsi" w:cstheme="majorHAnsi"/>
          <w:sz w:val="26"/>
          <w:szCs w:val="26"/>
        </w:rPr>
        <w:t xml:space="preserve">FSBA is proud to partner with NEFEC to provide this on-demand virtual training to you. </w:t>
      </w:r>
    </w:p>
    <w:p w:rsidR="00424B4A" w:rsidRDefault="00424B4A" w:rsidP="0079397B">
      <w:pPr>
        <w:rPr>
          <w:rFonts w:asciiTheme="majorHAnsi" w:hAnsiTheme="majorHAnsi" w:cstheme="majorHAnsi"/>
          <w:sz w:val="26"/>
          <w:szCs w:val="26"/>
        </w:rPr>
      </w:pPr>
    </w:p>
    <w:p w:rsidR="00C63D75" w:rsidRPr="00424B4A" w:rsidRDefault="00C63D75" w:rsidP="00424B4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5"/>
          <w:szCs w:val="25"/>
        </w:rPr>
      </w:pPr>
      <w:r w:rsidRPr="00424B4A">
        <w:rPr>
          <w:rFonts w:asciiTheme="majorHAnsi" w:hAnsiTheme="majorHAnsi" w:cstheme="majorHAnsi"/>
          <w:b/>
          <w:sz w:val="25"/>
          <w:szCs w:val="25"/>
        </w:rPr>
        <w:t xml:space="preserve">Visit </w:t>
      </w:r>
      <w:hyperlink r:id="rId9" w:history="1">
        <w:r w:rsidR="00223B12" w:rsidRPr="00424B4A">
          <w:rPr>
            <w:rStyle w:val="Hyperlink"/>
            <w:rFonts w:asciiTheme="majorHAnsi" w:hAnsiTheme="majorHAnsi" w:cstheme="majorHAnsi"/>
            <w:b/>
            <w:sz w:val="25"/>
            <w:szCs w:val="25"/>
          </w:rPr>
          <w:t>https://www.nefec.org/mynefec/sign-up/</w:t>
        </w:r>
      </w:hyperlink>
      <w:r w:rsidR="00223B12" w:rsidRPr="00424B4A">
        <w:rPr>
          <w:rFonts w:asciiTheme="majorHAnsi" w:hAnsiTheme="majorHAnsi" w:cstheme="majorHAnsi"/>
          <w:b/>
          <w:color w:val="auto"/>
          <w:sz w:val="25"/>
          <w:szCs w:val="25"/>
        </w:rPr>
        <w:t xml:space="preserve">  and</w:t>
      </w:r>
      <w:r w:rsidRPr="00424B4A">
        <w:rPr>
          <w:rFonts w:asciiTheme="majorHAnsi" w:hAnsiTheme="majorHAnsi" w:cstheme="majorHAnsi"/>
          <w:b/>
          <w:color w:val="auto"/>
          <w:sz w:val="25"/>
          <w:szCs w:val="25"/>
        </w:rPr>
        <w:t xml:space="preserve"> </w:t>
      </w:r>
      <w:r w:rsidR="0079397B" w:rsidRPr="00424B4A">
        <w:rPr>
          <w:rFonts w:asciiTheme="majorHAnsi" w:hAnsiTheme="majorHAnsi" w:cstheme="majorHAnsi"/>
          <w:b/>
          <w:sz w:val="25"/>
          <w:szCs w:val="25"/>
        </w:rPr>
        <w:t>cre</w:t>
      </w:r>
      <w:r w:rsidRPr="00424B4A">
        <w:rPr>
          <w:rFonts w:asciiTheme="majorHAnsi" w:hAnsiTheme="majorHAnsi" w:cstheme="majorHAnsi"/>
          <w:b/>
          <w:sz w:val="25"/>
          <w:szCs w:val="25"/>
        </w:rPr>
        <w:t xml:space="preserve">ate a </w:t>
      </w:r>
      <w:proofErr w:type="spellStart"/>
      <w:r w:rsidRPr="00424B4A">
        <w:rPr>
          <w:rFonts w:asciiTheme="majorHAnsi" w:hAnsiTheme="majorHAnsi" w:cstheme="majorHAnsi"/>
          <w:b/>
          <w:sz w:val="25"/>
          <w:szCs w:val="25"/>
        </w:rPr>
        <w:t>MyNEFEC</w:t>
      </w:r>
      <w:proofErr w:type="spellEnd"/>
      <w:r w:rsidRPr="00424B4A">
        <w:rPr>
          <w:rFonts w:asciiTheme="majorHAnsi" w:hAnsiTheme="majorHAnsi" w:cstheme="majorHAnsi"/>
          <w:b/>
          <w:sz w:val="25"/>
          <w:szCs w:val="25"/>
        </w:rPr>
        <w:t xml:space="preserve"> account </w:t>
      </w:r>
      <w:r w:rsidRPr="00424B4A">
        <w:rPr>
          <w:rFonts w:asciiTheme="majorHAnsi" w:hAnsiTheme="majorHAnsi" w:cstheme="majorHAnsi"/>
          <w:sz w:val="25"/>
          <w:szCs w:val="25"/>
        </w:rPr>
        <w:t xml:space="preserve">to access the training and to keep track of your professional learning. </w:t>
      </w:r>
    </w:p>
    <w:p w:rsidR="00223B12" w:rsidRPr="00424B4A" w:rsidRDefault="00223B12" w:rsidP="00424B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12"/>
          <w:szCs w:val="12"/>
          <w:u w:val="single"/>
        </w:rPr>
      </w:pPr>
      <w:r w:rsidRPr="00424B4A">
        <w:rPr>
          <w:rFonts w:asciiTheme="majorHAnsi" w:hAnsiTheme="majorHAnsi" w:cstheme="majorHAnsi"/>
          <w:b/>
          <w:sz w:val="25"/>
          <w:szCs w:val="25"/>
        </w:rPr>
        <w:t xml:space="preserve">Already have a </w:t>
      </w:r>
      <w:proofErr w:type="spellStart"/>
      <w:r w:rsidRPr="00424B4A">
        <w:rPr>
          <w:rFonts w:asciiTheme="majorHAnsi" w:hAnsiTheme="majorHAnsi" w:cstheme="majorHAnsi"/>
          <w:b/>
          <w:sz w:val="25"/>
          <w:szCs w:val="25"/>
        </w:rPr>
        <w:t>MyNEFEC</w:t>
      </w:r>
      <w:proofErr w:type="spellEnd"/>
      <w:r w:rsidRPr="00424B4A">
        <w:rPr>
          <w:rFonts w:asciiTheme="majorHAnsi" w:hAnsiTheme="majorHAnsi" w:cstheme="majorHAnsi"/>
          <w:b/>
          <w:sz w:val="25"/>
          <w:szCs w:val="25"/>
        </w:rPr>
        <w:t xml:space="preserve"> account?</w:t>
      </w:r>
      <w:r w:rsidRPr="00424B4A">
        <w:rPr>
          <w:rFonts w:asciiTheme="majorHAnsi" w:hAnsiTheme="majorHAnsi" w:cstheme="majorHAnsi"/>
          <w:sz w:val="25"/>
          <w:szCs w:val="25"/>
        </w:rPr>
        <w:t xml:space="preserve"> Sign in at </w:t>
      </w:r>
      <w:hyperlink r:id="rId10" w:history="1">
        <w:r w:rsidRPr="00424B4A">
          <w:rPr>
            <w:rStyle w:val="Hyperlink"/>
            <w:rFonts w:asciiTheme="majorHAnsi" w:hAnsiTheme="majorHAnsi" w:cstheme="majorHAnsi"/>
            <w:sz w:val="25"/>
            <w:szCs w:val="25"/>
          </w:rPr>
          <w:t>www.nefec.org</w:t>
        </w:r>
      </w:hyperlink>
      <w:r w:rsidRPr="00424B4A">
        <w:rPr>
          <w:rFonts w:asciiTheme="majorHAnsi" w:hAnsiTheme="majorHAnsi" w:cstheme="majorHAnsi"/>
          <w:sz w:val="25"/>
          <w:szCs w:val="25"/>
        </w:rPr>
        <w:t xml:space="preserve"> and </w:t>
      </w:r>
      <w:r w:rsidR="00041B74" w:rsidRPr="00424B4A">
        <w:rPr>
          <w:rFonts w:asciiTheme="majorHAnsi" w:hAnsiTheme="majorHAnsi" w:cstheme="majorHAnsi"/>
          <w:sz w:val="25"/>
          <w:szCs w:val="25"/>
          <w:u w:val="single"/>
        </w:rPr>
        <w:t>skip to step #3</w:t>
      </w:r>
      <w:r w:rsidRPr="00424B4A">
        <w:rPr>
          <w:rFonts w:asciiTheme="majorHAnsi" w:hAnsiTheme="majorHAnsi" w:cstheme="majorHAnsi"/>
          <w:sz w:val="25"/>
          <w:szCs w:val="25"/>
          <w:u w:val="single"/>
        </w:rPr>
        <w:t xml:space="preserve">.  </w:t>
      </w:r>
      <w:r w:rsidR="00424B4A">
        <w:rPr>
          <w:rFonts w:asciiTheme="majorHAnsi" w:hAnsiTheme="majorHAnsi" w:cstheme="majorHAnsi"/>
          <w:sz w:val="25"/>
          <w:szCs w:val="25"/>
          <w:u w:val="single"/>
        </w:rPr>
        <w:br/>
      </w:r>
    </w:p>
    <w:p w:rsidR="00C63D75" w:rsidRPr="00424B4A" w:rsidRDefault="00C63D75" w:rsidP="00424B4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12"/>
          <w:szCs w:val="12"/>
        </w:rPr>
      </w:pPr>
      <w:r w:rsidRPr="00424B4A">
        <w:rPr>
          <w:rFonts w:asciiTheme="majorHAnsi" w:hAnsiTheme="majorHAnsi" w:cstheme="majorHAnsi"/>
          <w:b/>
          <w:sz w:val="25"/>
          <w:szCs w:val="25"/>
        </w:rPr>
        <w:t xml:space="preserve">Check your email </w:t>
      </w:r>
      <w:r w:rsidRPr="00424B4A">
        <w:rPr>
          <w:rFonts w:asciiTheme="majorHAnsi" w:hAnsiTheme="majorHAnsi" w:cstheme="majorHAnsi"/>
          <w:sz w:val="25"/>
          <w:szCs w:val="25"/>
        </w:rPr>
        <w:t>to verify your account</w:t>
      </w:r>
      <w:r w:rsidR="000D519A" w:rsidRPr="00424B4A">
        <w:rPr>
          <w:rFonts w:asciiTheme="majorHAnsi" w:hAnsiTheme="majorHAnsi" w:cstheme="majorHAnsi"/>
          <w:sz w:val="25"/>
          <w:szCs w:val="25"/>
        </w:rPr>
        <w:t xml:space="preserve"> and complete </w:t>
      </w:r>
      <w:r w:rsidR="00424B4A" w:rsidRPr="00424B4A">
        <w:rPr>
          <w:rFonts w:asciiTheme="majorHAnsi" w:hAnsiTheme="majorHAnsi" w:cstheme="majorHAnsi"/>
          <w:sz w:val="25"/>
          <w:szCs w:val="25"/>
        </w:rPr>
        <w:t>the sign</w:t>
      </w:r>
      <w:r w:rsidR="000D519A" w:rsidRPr="00424B4A">
        <w:rPr>
          <w:rFonts w:asciiTheme="majorHAnsi" w:hAnsiTheme="majorHAnsi" w:cstheme="majorHAnsi"/>
          <w:sz w:val="25"/>
          <w:szCs w:val="25"/>
        </w:rPr>
        <w:t xml:space="preserve"> up process</w:t>
      </w:r>
      <w:r w:rsidRPr="00424B4A">
        <w:rPr>
          <w:rFonts w:asciiTheme="majorHAnsi" w:hAnsiTheme="majorHAnsi" w:cstheme="majorHAnsi"/>
          <w:sz w:val="25"/>
          <w:szCs w:val="25"/>
        </w:rPr>
        <w:t>.</w:t>
      </w:r>
      <w:r w:rsidR="0079397B" w:rsidRPr="00424B4A">
        <w:rPr>
          <w:rFonts w:asciiTheme="majorHAnsi" w:hAnsiTheme="majorHAnsi" w:cstheme="majorHAnsi"/>
          <w:sz w:val="25"/>
          <w:szCs w:val="25"/>
        </w:rPr>
        <w:t xml:space="preserve"> </w:t>
      </w:r>
      <w:r w:rsidR="00424B4A">
        <w:rPr>
          <w:rFonts w:asciiTheme="majorHAnsi" w:hAnsiTheme="majorHAnsi" w:cstheme="majorHAnsi"/>
          <w:sz w:val="25"/>
          <w:szCs w:val="25"/>
        </w:rPr>
        <w:br/>
      </w:r>
    </w:p>
    <w:p w:rsidR="00041B74" w:rsidRPr="00424B4A" w:rsidRDefault="00C63D75" w:rsidP="00424B4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5"/>
          <w:szCs w:val="25"/>
        </w:rPr>
      </w:pPr>
      <w:r w:rsidRPr="00424B4A">
        <w:rPr>
          <w:rFonts w:asciiTheme="majorHAnsi" w:hAnsiTheme="majorHAnsi" w:cstheme="majorHAnsi"/>
          <w:b/>
          <w:sz w:val="25"/>
          <w:szCs w:val="25"/>
        </w:rPr>
        <w:t xml:space="preserve">Sign in </w:t>
      </w:r>
      <w:r w:rsidRPr="00424B4A">
        <w:rPr>
          <w:rFonts w:asciiTheme="majorHAnsi" w:hAnsiTheme="majorHAnsi" w:cstheme="majorHAnsi"/>
          <w:sz w:val="25"/>
          <w:szCs w:val="25"/>
        </w:rPr>
        <w:t xml:space="preserve">using your account information at </w:t>
      </w:r>
      <w:hyperlink r:id="rId11" w:history="1">
        <w:r w:rsidRPr="00424B4A">
          <w:rPr>
            <w:rStyle w:val="Hyperlink"/>
            <w:rFonts w:asciiTheme="majorHAnsi" w:hAnsiTheme="majorHAnsi" w:cstheme="majorHAnsi"/>
            <w:sz w:val="25"/>
            <w:szCs w:val="25"/>
          </w:rPr>
          <w:t>www.nefec.org</w:t>
        </w:r>
      </w:hyperlink>
      <w:r w:rsidRPr="00424B4A">
        <w:rPr>
          <w:rFonts w:asciiTheme="majorHAnsi" w:hAnsiTheme="majorHAnsi" w:cstheme="majorHAnsi"/>
          <w:sz w:val="25"/>
          <w:szCs w:val="25"/>
        </w:rPr>
        <w:t>.</w:t>
      </w:r>
      <w:r w:rsidR="0079397B" w:rsidRPr="00424B4A">
        <w:rPr>
          <w:rFonts w:asciiTheme="majorHAnsi" w:hAnsiTheme="majorHAnsi" w:cstheme="majorHAnsi"/>
          <w:sz w:val="25"/>
          <w:szCs w:val="25"/>
        </w:rPr>
        <w:t xml:space="preserve"> </w:t>
      </w:r>
    </w:p>
    <w:p w:rsidR="00041B74" w:rsidRPr="00424B4A" w:rsidRDefault="00041B74" w:rsidP="00424B4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12"/>
          <w:szCs w:val="12"/>
        </w:rPr>
      </w:pPr>
      <w:r w:rsidRPr="00424B4A">
        <w:rPr>
          <w:rFonts w:asciiTheme="majorHAnsi" w:hAnsiTheme="majorHAnsi" w:cstheme="majorHAnsi"/>
          <w:sz w:val="25"/>
          <w:szCs w:val="25"/>
        </w:rPr>
        <w:t>Be sure to click “</w:t>
      </w:r>
      <w:r w:rsidRPr="00424B4A">
        <w:rPr>
          <w:rFonts w:asciiTheme="majorHAnsi" w:hAnsiTheme="majorHAnsi" w:cstheme="majorHAnsi"/>
          <w:b/>
          <w:sz w:val="25"/>
          <w:szCs w:val="25"/>
        </w:rPr>
        <w:t>REMEMBER ME</w:t>
      </w:r>
      <w:r w:rsidRPr="00424B4A">
        <w:rPr>
          <w:rFonts w:asciiTheme="majorHAnsi" w:hAnsiTheme="majorHAnsi" w:cstheme="majorHAnsi"/>
          <w:sz w:val="25"/>
          <w:szCs w:val="25"/>
        </w:rPr>
        <w:t xml:space="preserve">” before you sign in so that signing in will be easier next time. </w:t>
      </w:r>
      <w:r w:rsidR="00424B4A">
        <w:rPr>
          <w:rFonts w:asciiTheme="majorHAnsi" w:hAnsiTheme="majorHAnsi" w:cstheme="majorHAnsi"/>
          <w:sz w:val="25"/>
          <w:szCs w:val="25"/>
        </w:rPr>
        <w:br/>
      </w:r>
    </w:p>
    <w:p w:rsidR="00041B74" w:rsidRPr="00424B4A" w:rsidRDefault="00223B12" w:rsidP="00424B4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12"/>
          <w:szCs w:val="12"/>
        </w:rPr>
      </w:pPr>
      <w:r w:rsidRPr="00424B4A">
        <w:rPr>
          <w:rFonts w:asciiTheme="majorHAnsi" w:hAnsiTheme="majorHAnsi" w:cstheme="majorHAnsi"/>
          <w:b/>
          <w:sz w:val="25"/>
          <w:szCs w:val="25"/>
        </w:rPr>
        <w:t>Once you have signed in</w:t>
      </w:r>
      <w:r w:rsidRPr="00424B4A">
        <w:rPr>
          <w:rFonts w:asciiTheme="majorHAnsi" w:hAnsiTheme="majorHAnsi" w:cstheme="majorHAnsi"/>
          <w:sz w:val="25"/>
          <w:szCs w:val="25"/>
        </w:rPr>
        <w:t xml:space="preserve">, </w:t>
      </w:r>
      <w:r w:rsidR="000D519A" w:rsidRPr="00424B4A">
        <w:rPr>
          <w:rFonts w:asciiTheme="majorHAnsi" w:hAnsiTheme="majorHAnsi" w:cstheme="majorHAnsi"/>
          <w:sz w:val="25"/>
          <w:szCs w:val="25"/>
        </w:rPr>
        <w:t xml:space="preserve">click: </w:t>
      </w:r>
      <w:r w:rsidR="00041B74" w:rsidRPr="00424B4A">
        <w:rPr>
          <w:rFonts w:asciiTheme="majorHAnsi" w:hAnsiTheme="majorHAnsi" w:cstheme="majorHAnsi"/>
          <w:sz w:val="25"/>
          <w:szCs w:val="25"/>
        </w:rPr>
        <w:t>“</w:t>
      </w:r>
      <w:proofErr w:type="spellStart"/>
      <w:r w:rsidR="00041B74" w:rsidRPr="00424B4A">
        <w:rPr>
          <w:rFonts w:asciiTheme="majorHAnsi" w:hAnsiTheme="majorHAnsi" w:cstheme="majorHAnsi"/>
          <w:b/>
          <w:sz w:val="25"/>
          <w:szCs w:val="25"/>
        </w:rPr>
        <w:t>MyNEFEC</w:t>
      </w:r>
      <w:proofErr w:type="spellEnd"/>
      <w:r w:rsidR="00041B74" w:rsidRPr="00424B4A">
        <w:rPr>
          <w:rFonts w:asciiTheme="majorHAnsi" w:hAnsiTheme="majorHAnsi" w:cstheme="majorHAnsi"/>
          <w:sz w:val="25"/>
          <w:szCs w:val="25"/>
        </w:rPr>
        <w:t>” in the top right corner, and when the menu drops down, click “</w:t>
      </w:r>
      <w:r w:rsidR="00424B4A" w:rsidRPr="00424B4A">
        <w:rPr>
          <w:rFonts w:asciiTheme="majorHAnsi" w:hAnsiTheme="majorHAnsi" w:cstheme="majorHAnsi"/>
          <w:b/>
          <w:sz w:val="25"/>
          <w:szCs w:val="25"/>
        </w:rPr>
        <w:t>FSBA Ethics Training</w:t>
      </w:r>
      <w:r w:rsidR="00424B4A">
        <w:rPr>
          <w:rFonts w:asciiTheme="majorHAnsi" w:hAnsiTheme="majorHAnsi" w:cstheme="majorHAnsi"/>
          <w:b/>
          <w:sz w:val="25"/>
          <w:szCs w:val="25"/>
        </w:rPr>
        <w:t>.</w:t>
      </w:r>
      <w:r w:rsidR="00041B74" w:rsidRPr="00424B4A">
        <w:rPr>
          <w:rFonts w:asciiTheme="majorHAnsi" w:hAnsiTheme="majorHAnsi" w:cstheme="majorHAnsi"/>
          <w:sz w:val="25"/>
          <w:szCs w:val="25"/>
        </w:rPr>
        <w:t>”</w:t>
      </w:r>
      <w:r w:rsidR="00424B4A">
        <w:rPr>
          <w:rFonts w:asciiTheme="majorHAnsi" w:hAnsiTheme="majorHAnsi" w:cstheme="majorHAnsi"/>
          <w:sz w:val="25"/>
          <w:szCs w:val="25"/>
        </w:rPr>
        <w:br/>
      </w:r>
    </w:p>
    <w:p w:rsidR="00223B12" w:rsidRPr="00424B4A" w:rsidRDefault="00041B74" w:rsidP="00424B4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5"/>
          <w:szCs w:val="25"/>
        </w:rPr>
      </w:pPr>
      <w:r w:rsidRPr="00424B4A">
        <w:rPr>
          <w:rFonts w:asciiTheme="majorHAnsi" w:hAnsiTheme="majorHAnsi" w:cstheme="majorHAnsi"/>
          <w:b/>
          <w:sz w:val="25"/>
          <w:szCs w:val="25"/>
        </w:rPr>
        <w:t xml:space="preserve">Enter </w:t>
      </w:r>
      <w:r w:rsidRPr="00424B4A">
        <w:rPr>
          <w:rFonts w:asciiTheme="majorHAnsi" w:hAnsiTheme="majorHAnsi" w:cstheme="majorHAnsi"/>
          <w:sz w:val="25"/>
          <w:szCs w:val="25"/>
        </w:rPr>
        <w:t>yo</w:t>
      </w:r>
      <w:r w:rsidR="00424B4A">
        <w:rPr>
          <w:rFonts w:asciiTheme="majorHAnsi" w:hAnsiTheme="majorHAnsi" w:cstheme="majorHAnsi"/>
          <w:sz w:val="25"/>
          <w:szCs w:val="25"/>
        </w:rPr>
        <w:t>ur enrollment key when prompted</w:t>
      </w:r>
      <w:r w:rsidR="00223B12" w:rsidRPr="00424B4A">
        <w:rPr>
          <w:rFonts w:asciiTheme="majorHAnsi" w:hAnsiTheme="majorHAnsi" w:cstheme="majorHAnsi"/>
          <w:sz w:val="25"/>
          <w:szCs w:val="25"/>
        </w:rPr>
        <w:t xml:space="preserve">: </w:t>
      </w:r>
      <w:r w:rsidR="00186068">
        <w:rPr>
          <w:rFonts w:asciiTheme="majorHAnsi" w:hAnsiTheme="majorHAnsi" w:cstheme="majorHAnsi"/>
          <w:b/>
          <w:color w:val="FF0000"/>
          <w:sz w:val="25"/>
          <w:szCs w:val="25"/>
        </w:rPr>
        <w:t>ETHICS2018</w:t>
      </w:r>
    </w:p>
    <w:p w:rsidR="00223B12" w:rsidRDefault="00223B12" w:rsidP="00223B12">
      <w:pPr>
        <w:pStyle w:val="ListParagraph"/>
        <w:rPr>
          <w:rFonts w:ascii="Cambria" w:hAnsi="Cambria"/>
        </w:rPr>
      </w:pPr>
      <w:bookmarkStart w:id="0" w:name="_GoBack"/>
      <w:bookmarkEnd w:id="0"/>
    </w:p>
    <w:p w:rsidR="0079397B" w:rsidRDefault="0079397B" w:rsidP="0079397B">
      <w:pPr>
        <w:rPr>
          <w:rFonts w:ascii="Cambria" w:hAnsi="Cambria"/>
          <w:sz w:val="26"/>
          <w:szCs w:val="26"/>
        </w:rPr>
      </w:pPr>
    </w:p>
    <w:p w:rsidR="00481317" w:rsidRDefault="00481317" w:rsidP="00481317">
      <w:pPr>
        <w:pStyle w:val="ListParagraph"/>
        <w:rPr>
          <w:rFonts w:ascii="Calibri" w:hAnsi="Calibri" w:cs="Calibri"/>
          <w:color w:val="000000" w:themeColor="text1"/>
          <w:sz w:val="25"/>
          <w:szCs w:val="25"/>
        </w:rPr>
      </w:pPr>
      <w:r>
        <w:rPr>
          <w:rFonts w:ascii="Calibri" w:hAnsi="Calibri" w:cs="Calibri"/>
          <w:b/>
          <w:color w:val="000000" w:themeColor="text1"/>
          <w:sz w:val="25"/>
          <w:szCs w:val="25"/>
        </w:rPr>
        <w:t>For technical assistance, please contact:</w:t>
      </w:r>
      <w:r>
        <w:rPr>
          <w:rFonts w:ascii="Calibri" w:hAnsi="Calibri" w:cs="Calibri"/>
          <w:color w:val="000000" w:themeColor="text1"/>
          <w:sz w:val="25"/>
          <w:szCs w:val="25"/>
        </w:rPr>
        <w:t xml:space="preserve"> </w:t>
      </w:r>
      <w:r>
        <w:rPr>
          <w:rFonts w:ascii="Calibri" w:hAnsi="Calibri" w:cs="Calibri"/>
          <w:color w:val="000000" w:themeColor="text1"/>
          <w:sz w:val="25"/>
          <w:szCs w:val="25"/>
        </w:rPr>
        <w:br/>
      </w:r>
      <w:r>
        <w:rPr>
          <w:rFonts w:ascii="Calibri" w:hAnsi="Calibri" w:cs="Calibri"/>
          <w:color w:val="auto"/>
          <w:sz w:val="25"/>
          <w:szCs w:val="25"/>
        </w:rPr>
        <w:t>NEFEC</w:t>
      </w:r>
      <w:r>
        <w:rPr>
          <w:rFonts w:ascii="Calibri" w:hAnsi="Calibri" w:cs="Calibri"/>
          <w:color w:val="2E74B5" w:themeColor="accent1" w:themeShade="BF"/>
          <w:sz w:val="25"/>
          <w:szCs w:val="25"/>
        </w:rPr>
        <w:br/>
      </w:r>
      <w:hyperlink r:id="rId12" w:history="1">
        <w:r>
          <w:rPr>
            <w:rStyle w:val="Hyperlink"/>
            <w:rFonts w:ascii="Calibri" w:hAnsi="Calibri" w:cs="Calibri"/>
            <w:color w:val="2E74B5" w:themeColor="accent1" w:themeShade="BF"/>
            <w:sz w:val="25"/>
            <w:szCs w:val="25"/>
          </w:rPr>
          <w:t>elearning@nefec.org</w:t>
        </w:r>
      </w:hyperlink>
      <w:r>
        <w:rPr>
          <w:rFonts w:ascii="Calibri" w:hAnsi="Calibri" w:cs="Calibri"/>
          <w:color w:val="2E74B5" w:themeColor="accent1" w:themeShade="BF"/>
          <w:sz w:val="25"/>
          <w:szCs w:val="25"/>
        </w:rPr>
        <w:t xml:space="preserve"> </w:t>
      </w:r>
      <w:r>
        <w:rPr>
          <w:rFonts w:ascii="Calibri" w:hAnsi="Calibri" w:cs="Calibri"/>
          <w:color w:val="000000" w:themeColor="text1"/>
          <w:sz w:val="25"/>
          <w:szCs w:val="25"/>
        </w:rPr>
        <w:br/>
        <w:t>386-329-3580</w:t>
      </w:r>
    </w:p>
    <w:p w:rsidR="00481317" w:rsidRDefault="00481317" w:rsidP="00481317">
      <w:pPr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ab/>
      </w:r>
    </w:p>
    <w:p w:rsidR="00481317" w:rsidRDefault="00481317" w:rsidP="00481317">
      <w:pPr>
        <w:rPr>
          <w:rFonts w:ascii="Calibri" w:hAnsi="Calibri" w:cs="Calibri"/>
          <w:b/>
          <w:color w:val="auto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ab/>
      </w:r>
      <w:r>
        <w:rPr>
          <w:rFonts w:ascii="Calibri" w:hAnsi="Calibri" w:cs="Calibri"/>
          <w:b/>
          <w:sz w:val="25"/>
          <w:szCs w:val="25"/>
        </w:rPr>
        <w:t xml:space="preserve">For content questions and assistance, please contact: </w:t>
      </w:r>
    </w:p>
    <w:p w:rsidR="00481317" w:rsidRDefault="00481317" w:rsidP="00481317">
      <w:pPr>
        <w:ind w:left="720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Tina Pinkoson</w:t>
      </w:r>
      <w:r>
        <w:rPr>
          <w:rFonts w:ascii="Calibri" w:hAnsi="Calibri" w:cs="Calibri"/>
          <w:sz w:val="25"/>
          <w:szCs w:val="25"/>
        </w:rPr>
        <w:br/>
      </w:r>
      <w:hyperlink r:id="rId13" w:history="1">
        <w:r>
          <w:rPr>
            <w:rStyle w:val="Hyperlink"/>
            <w:rFonts w:ascii="Calibri" w:hAnsi="Calibri" w:cs="Calibri"/>
            <w:sz w:val="25"/>
            <w:szCs w:val="25"/>
          </w:rPr>
          <w:t>Pinkoson@fsba.org</w:t>
        </w:r>
      </w:hyperlink>
      <w:r>
        <w:rPr>
          <w:rFonts w:ascii="Calibri" w:hAnsi="Calibri" w:cs="Calibri"/>
          <w:sz w:val="25"/>
          <w:szCs w:val="25"/>
        </w:rPr>
        <w:t xml:space="preserve"> </w:t>
      </w:r>
      <w:r>
        <w:rPr>
          <w:rFonts w:ascii="Calibri" w:hAnsi="Calibri" w:cs="Calibri"/>
          <w:sz w:val="25"/>
          <w:szCs w:val="25"/>
        </w:rPr>
        <w:br/>
        <w:t>352.870.8484</w:t>
      </w:r>
    </w:p>
    <w:p w:rsidR="0079397B" w:rsidRDefault="0079397B"/>
    <w:sectPr w:rsidR="0079397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7D1" w:rsidRDefault="005B77D1" w:rsidP="005B77D1">
      <w:r>
        <w:separator/>
      </w:r>
    </w:p>
  </w:endnote>
  <w:endnote w:type="continuationSeparator" w:id="0">
    <w:p w:rsidR="005B77D1" w:rsidRDefault="005B77D1" w:rsidP="005B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2E" w:rsidRPr="0058152E" w:rsidRDefault="0058152E" w:rsidP="005B77D1">
    <w:pPr>
      <w:pStyle w:val="Footer"/>
      <w:jc w:val="center"/>
      <w:rPr>
        <w:rFonts w:ascii="Times New Roman" w:hAnsi="Times New Roman" w:cs="Times New Roman"/>
        <w:i/>
        <w:sz w:val="18"/>
        <w:szCs w:val="18"/>
      </w:rPr>
    </w:pPr>
    <w:r w:rsidRPr="0058152E">
      <w:rPr>
        <w:rFonts w:ascii="Times New Roman" w:hAnsi="Times New Roman" w:cs="Times New Roman"/>
        <w:i/>
        <w:sz w:val="18"/>
        <w:szCs w:val="18"/>
      </w:rPr>
      <w:t xml:space="preserve">The mission of the Florida School Boards Association is to increase student achievement through development of effective </w:t>
    </w:r>
    <w:r>
      <w:rPr>
        <w:rFonts w:ascii="Times New Roman" w:hAnsi="Times New Roman" w:cs="Times New Roman"/>
        <w:i/>
        <w:sz w:val="18"/>
        <w:szCs w:val="18"/>
      </w:rPr>
      <w:br/>
    </w:r>
    <w:r w:rsidRPr="0058152E">
      <w:rPr>
        <w:rFonts w:ascii="Times New Roman" w:hAnsi="Times New Roman" w:cs="Times New Roman"/>
        <w:i/>
        <w:sz w:val="18"/>
        <w:szCs w:val="18"/>
      </w:rPr>
      <w:t xml:space="preserve">school board leadership and advocacy for public education. </w:t>
    </w:r>
    <w:r>
      <w:rPr>
        <w:rFonts w:ascii="Times New Roman" w:hAnsi="Times New Roman" w:cs="Times New Roman"/>
        <w:i/>
        <w:sz w:val="18"/>
        <w:szCs w:val="18"/>
      </w:rPr>
      <w:br/>
    </w:r>
  </w:p>
  <w:p w:rsidR="005B77D1" w:rsidRPr="005B77D1" w:rsidRDefault="005B77D1" w:rsidP="005B77D1">
    <w:pPr>
      <w:pStyle w:val="Footer"/>
      <w:jc w:val="center"/>
      <w:rPr>
        <w:sz w:val="22"/>
        <w:szCs w:val="22"/>
      </w:rPr>
    </w:pPr>
    <w:r w:rsidRPr="005B77D1">
      <w:rPr>
        <w:sz w:val="22"/>
        <w:szCs w:val="22"/>
      </w:rPr>
      <w:t xml:space="preserve">203 South Monroe </w:t>
    </w:r>
    <w:proofErr w:type="gramStart"/>
    <w:r w:rsidRPr="005B77D1">
      <w:rPr>
        <w:sz w:val="22"/>
        <w:szCs w:val="22"/>
      </w:rPr>
      <w:t>Street</w:t>
    </w:r>
    <w:r w:rsidRPr="005B77D1">
      <w:rPr>
        <w:b/>
        <w:sz w:val="22"/>
        <w:szCs w:val="22"/>
      </w:rPr>
      <w:t xml:space="preserve">  •</w:t>
    </w:r>
    <w:proofErr w:type="gramEnd"/>
    <w:r w:rsidRPr="005B77D1">
      <w:rPr>
        <w:b/>
        <w:sz w:val="22"/>
        <w:szCs w:val="22"/>
      </w:rPr>
      <w:t xml:space="preserve"> </w:t>
    </w:r>
    <w:r w:rsidRPr="005B77D1">
      <w:rPr>
        <w:sz w:val="22"/>
        <w:szCs w:val="22"/>
      </w:rPr>
      <w:t xml:space="preserve">Tallahassee, FL 32301 </w:t>
    </w:r>
    <w:r w:rsidRPr="005B77D1">
      <w:rPr>
        <w:b/>
        <w:sz w:val="22"/>
        <w:szCs w:val="22"/>
      </w:rPr>
      <w:t>•</w:t>
    </w:r>
    <w:r w:rsidRPr="005B77D1">
      <w:rPr>
        <w:sz w:val="22"/>
        <w:szCs w:val="22"/>
      </w:rPr>
      <w:t xml:space="preserve"> (850) 414-2578 </w:t>
    </w:r>
    <w:r w:rsidRPr="005B77D1">
      <w:rPr>
        <w:b/>
        <w:sz w:val="22"/>
        <w:szCs w:val="22"/>
      </w:rPr>
      <w:t xml:space="preserve">• </w:t>
    </w:r>
    <w:hyperlink r:id="rId1" w:history="1">
      <w:r w:rsidRPr="005B77D1">
        <w:rPr>
          <w:rStyle w:val="Hyperlink"/>
          <w:sz w:val="22"/>
          <w:szCs w:val="22"/>
        </w:rPr>
        <w:t>www.fsba.org</w:t>
      </w:r>
    </w:hyperlink>
    <w:r w:rsidRPr="005B77D1">
      <w:rPr>
        <w:sz w:val="22"/>
        <w:szCs w:val="22"/>
      </w:rPr>
      <w:t xml:space="preserve">  </w:t>
    </w:r>
    <w:r w:rsidRPr="005B77D1">
      <w:rPr>
        <w:sz w:val="22"/>
        <w:szCs w:val="22"/>
      </w:rPr>
      <w:br/>
      <w:t xml:space="preserve">Twitter: </w:t>
    </w:r>
    <w:hyperlink r:id="rId2" w:history="1">
      <w:r w:rsidRPr="005B77D1">
        <w:rPr>
          <w:rStyle w:val="Hyperlink"/>
          <w:sz w:val="22"/>
          <w:szCs w:val="22"/>
        </w:rPr>
        <w:t>@</w:t>
      </w:r>
      <w:proofErr w:type="spellStart"/>
      <w:r w:rsidRPr="005B77D1">
        <w:rPr>
          <w:rStyle w:val="Hyperlink"/>
          <w:sz w:val="22"/>
          <w:szCs w:val="22"/>
        </w:rPr>
        <w:t>FLSchoolBoards</w:t>
      </w:r>
      <w:proofErr w:type="spellEnd"/>
    </w:hyperlink>
    <w:r w:rsidRPr="005B77D1">
      <w:rPr>
        <w:sz w:val="22"/>
        <w:szCs w:val="22"/>
      </w:rPr>
      <w:t xml:space="preserve"> • Facebook: </w:t>
    </w:r>
    <w:hyperlink r:id="rId3" w:history="1">
      <w:r w:rsidRPr="005B77D1">
        <w:rPr>
          <w:rStyle w:val="Hyperlink"/>
          <w:sz w:val="22"/>
          <w:szCs w:val="22"/>
        </w:rPr>
        <w:t>@</w:t>
      </w:r>
      <w:proofErr w:type="spellStart"/>
      <w:r w:rsidRPr="005B77D1">
        <w:rPr>
          <w:rStyle w:val="Hyperlink"/>
          <w:sz w:val="22"/>
          <w:szCs w:val="22"/>
        </w:rPr>
        <w:t>FLSchoolBoardsAssociation</w:t>
      </w:r>
      <w:proofErr w:type="spellEnd"/>
    </w:hyperlink>
  </w:p>
  <w:p w:rsidR="005B77D1" w:rsidRDefault="005B7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7D1" w:rsidRDefault="005B77D1" w:rsidP="005B77D1">
      <w:r>
        <w:separator/>
      </w:r>
    </w:p>
  </w:footnote>
  <w:footnote w:type="continuationSeparator" w:id="0">
    <w:p w:rsidR="005B77D1" w:rsidRDefault="005B77D1" w:rsidP="005B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86184"/>
    <w:multiLevelType w:val="hybridMultilevel"/>
    <w:tmpl w:val="11461752"/>
    <w:lvl w:ilvl="0" w:tplc="60564F5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  <w:sz w:val="24"/>
      </w:rPr>
    </w:lvl>
    <w:lvl w:ilvl="1" w:tplc="E1E6BB34">
      <w:start w:val="1"/>
      <w:numFmt w:val="lowerLetter"/>
      <w:lvlText w:val="%2."/>
      <w:lvlJc w:val="left"/>
      <w:pPr>
        <w:ind w:left="1440" w:hanging="360"/>
      </w:pPr>
      <w:rPr>
        <w:sz w:val="25"/>
        <w:szCs w:val="25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7B"/>
    <w:rsid w:val="00041B74"/>
    <w:rsid w:val="000D519A"/>
    <w:rsid w:val="00186068"/>
    <w:rsid w:val="00223B12"/>
    <w:rsid w:val="00424B4A"/>
    <w:rsid w:val="00481317"/>
    <w:rsid w:val="004F4AF1"/>
    <w:rsid w:val="0058152E"/>
    <w:rsid w:val="005B77D1"/>
    <w:rsid w:val="0061761A"/>
    <w:rsid w:val="00690DA4"/>
    <w:rsid w:val="0079397B"/>
    <w:rsid w:val="00C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AC72D53-9430-48CB-AEFF-CD0AEA5E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7B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97B"/>
    <w:rPr>
      <w:color w:val="3333CC"/>
      <w:u w:val="single"/>
    </w:rPr>
  </w:style>
  <w:style w:type="paragraph" w:styleId="ListParagraph">
    <w:name w:val="List Paragraph"/>
    <w:basedOn w:val="Normal"/>
    <w:uiPriority w:val="34"/>
    <w:qFormat/>
    <w:rsid w:val="00C63D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23B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19A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7D1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7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7D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inkoson@fsb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learning@nefec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fec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efe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fec.org/mynefec/sign-up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flschoolboardsassociation" TargetMode="External"/><Relationship Id="rId2" Type="http://schemas.openxmlformats.org/officeDocument/2006/relationships/hyperlink" Target="http://www.twitter.com/flschoolboards" TargetMode="External"/><Relationship Id="rId1" Type="http://schemas.openxmlformats.org/officeDocument/2006/relationships/hyperlink" Target="http://www.fs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283D6CFA.dotm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BillieAnne Gay</dc:creator>
  <cp:keywords/>
  <dc:description/>
  <cp:lastModifiedBy>BillieAnne Gay</cp:lastModifiedBy>
  <cp:revision>2</cp:revision>
  <cp:lastPrinted>2017-09-14T18:12:00Z</cp:lastPrinted>
  <dcterms:created xsi:type="dcterms:W3CDTF">2018-09-05T13:48:00Z</dcterms:created>
  <dcterms:modified xsi:type="dcterms:W3CDTF">2018-09-05T13:48:00Z</dcterms:modified>
</cp:coreProperties>
</file>