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05980" w14:textId="77777777" w:rsidR="00CB64E9" w:rsidRDefault="00CB64E9" w:rsidP="001533FC">
      <w:pPr>
        <w:pStyle w:val="NSBAHeadline"/>
      </w:pPr>
    </w:p>
    <w:p w14:paraId="701660B5" w14:textId="754AE9F6" w:rsidR="006D49D9" w:rsidRPr="00FE3AC2" w:rsidRDefault="007B7596" w:rsidP="0080310E">
      <w:pPr>
        <w:jc w:val="center"/>
        <w:rPr>
          <w:rFonts w:ascii="Gill Sans MT" w:hAnsi="Gill Sans MT"/>
          <w:b/>
          <w:color w:val="000066"/>
          <w:sz w:val="32"/>
          <w:szCs w:val="32"/>
        </w:rPr>
      </w:pPr>
      <w:r>
        <w:rPr>
          <w:rFonts w:ascii="Gill Sans MT" w:hAnsi="Gill Sans MT"/>
          <w:b/>
          <w:color w:val="000080"/>
          <w:sz w:val="32"/>
          <w:szCs w:val="32"/>
        </w:rPr>
        <w:t xml:space="preserve">Another Report Finds </w:t>
      </w:r>
      <w:r w:rsidR="006D49D9">
        <w:rPr>
          <w:rFonts w:ascii="Gill Sans MT" w:hAnsi="Gill Sans MT"/>
          <w:b/>
          <w:color w:val="000080"/>
          <w:sz w:val="32"/>
          <w:szCs w:val="32"/>
        </w:rPr>
        <w:t>High Graduation Rates at an All-Time High</w:t>
      </w:r>
    </w:p>
    <w:p w14:paraId="1396AE57" w14:textId="77777777" w:rsidR="000B2E03" w:rsidRPr="00F772E4" w:rsidRDefault="000B2E03" w:rsidP="001533FC">
      <w:pPr>
        <w:pStyle w:val="NSBABodyCopy"/>
      </w:pPr>
    </w:p>
    <w:p w14:paraId="7C8BA308" w14:textId="77777777" w:rsidR="0080310E" w:rsidRDefault="004B7C5F" w:rsidP="004B7C5F">
      <w:p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EdWeek’s annual </w:t>
      </w:r>
      <w:hyperlink r:id="rId8" w:history="1">
        <w:r w:rsidRPr="00E171B0">
          <w:rPr>
            <w:rStyle w:val="Hyperlink"/>
            <w:rFonts w:ascii="Goudy Old Style" w:hAnsi="Goudy Old Style" w:cstheme="minorHAnsi"/>
            <w:b/>
            <w:sz w:val="22"/>
            <w:szCs w:val="22"/>
          </w:rPr>
          <w:t>Diplomas Count</w:t>
        </w:r>
      </w:hyperlink>
      <w:r>
        <w:rPr>
          <w:rFonts w:ascii="Goudy Old Style" w:hAnsi="Goudy Old Style" w:cstheme="minorHAnsi"/>
          <w:sz w:val="22"/>
          <w:szCs w:val="22"/>
        </w:rPr>
        <w:t xml:space="preserve"> report shows that the U.S. high sch</w:t>
      </w:r>
      <w:r w:rsidR="00E171B0">
        <w:rPr>
          <w:rFonts w:ascii="Goudy Old Style" w:hAnsi="Goudy Old Style" w:cstheme="minorHAnsi"/>
          <w:sz w:val="22"/>
          <w:szCs w:val="22"/>
        </w:rPr>
        <w:t>ool on-time graduation rate</w:t>
      </w:r>
      <w:r w:rsidR="00FD09CD">
        <w:rPr>
          <w:rFonts w:ascii="Goudy Old Style" w:hAnsi="Goudy Old Style" w:cstheme="minorHAnsi"/>
          <w:sz w:val="22"/>
          <w:szCs w:val="22"/>
        </w:rPr>
        <w:t xml:space="preserve"> has</w:t>
      </w:r>
      <w:r w:rsidR="00E171B0">
        <w:rPr>
          <w:rFonts w:ascii="Goudy Old Style" w:hAnsi="Goudy Old Style" w:cstheme="minorHAnsi"/>
          <w:sz w:val="22"/>
          <w:szCs w:val="22"/>
        </w:rPr>
        <w:t xml:space="preserve"> hit an</w:t>
      </w:r>
      <w:r w:rsidR="00197936">
        <w:rPr>
          <w:rFonts w:ascii="Goudy Old Style" w:hAnsi="Goudy Old Style" w:cstheme="minorHAnsi"/>
          <w:sz w:val="22"/>
          <w:szCs w:val="22"/>
        </w:rPr>
        <w:t>other</w:t>
      </w:r>
      <w:r w:rsidR="00E171B0">
        <w:rPr>
          <w:rFonts w:ascii="Goudy Old Style" w:hAnsi="Goudy Old Style" w:cstheme="minorHAnsi"/>
          <w:sz w:val="22"/>
          <w:szCs w:val="22"/>
        </w:rPr>
        <w:t xml:space="preserve"> all-time high</w:t>
      </w:r>
      <w:r>
        <w:rPr>
          <w:rFonts w:ascii="Goudy Old Style" w:hAnsi="Goudy Old Style" w:cstheme="minorHAnsi"/>
          <w:sz w:val="22"/>
          <w:szCs w:val="22"/>
        </w:rPr>
        <w:t xml:space="preserve"> </w:t>
      </w:r>
      <w:r w:rsidR="00E171B0">
        <w:rPr>
          <w:rFonts w:ascii="Goudy Old Style" w:hAnsi="Goudy Old Style" w:cstheme="minorHAnsi"/>
          <w:sz w:val="22"/>
          <w:szCs w:val="22"/>
        </w:rPr>
        <w:t>w</w:t>
      </w:r>
      <w:r w:rsidR="0038223B">
        <w:rPr>
          <w:rFonts w:ascii="Goudy Old Style" w:hAnsi="Goudy Old Style" w:cstheme="minorHAnsi"/>
          <w:sz w:val="22"/>
          <w:szCs w:val="22"/>
        </w:rPr>
        <w:t xml:space="preserve">ith </w:t>
      </w:r>
      <w:r w:rsidR="00B536E2">
        <w:rPr>
          <w:rFonts w:ascii="Goudy Old Style" w:hAnsi="Goudy Old Style" w:cstheme="minorHAnsi"/>
          <w:sz w:val="22"/>
          <w:szCs w:val="22"/>
        </w:rPr>
        <w:t>8</w:t>
      </w:r>
      <w:r w:rsidR="00E171B0">
        <w:rPr>
          <w:rFonts w:ascii="Goudy Old Style" w:hAnsi="Goudy Old Style" w:cstheme="minorHAnsi"/>
          <w:sz w:val="22"/>
          <w:szCs w:val="22"/>
        </w:rPr>
        <w:t>1</w:t>
      </w:r>
      <w:r w:rsidR="0038223B">
        <w:rPr>
          <w:rFonts w:ascii="Goudy Old Style" w:hAnsi="Goudy Old Style" w:cstheme="minorHAnsi"/>
          <w:sz w:val="22"/>
          <w:szCs w:val="22"/>
        </w:rPr>
        <w:t xml:space="preserve"> percent of students graduating within fou</w:t>
      </w:r>
      <w:r w:rsidR="00E171B0">
        <w:rPr>
          <w:rFonts w:ascii="Goudy Old Style" w:hAnsi="Goudy Old Style" w:cstheme="minorHAnsi"/>
          <w:sz w:val="22"/>
          <w:szCs w:val="22"/>
        </w:rPr>
        <w:t xml:space="preserve">r-years of entering high school. </w:t>
      </w:r>
      <w:r w:rsidR="0038223B">
        <w:rPr>
          <w:rFonts w:ascii="Goudy Old Style" w:hAnsi="Goudy Old Style" w:cstheme="minorHAnsi"/>
          <w:sz w:val="22"/>
          <w:szCs w:val="22"/>
        </w:rPr>
        <w:t xml:space="preserve"> </w:t>
      </w:r>
      <w:r w:rsidR="007B7596">
        <w:rPr>
          <w:rFonts w:ascii="Goudy Old Style" w:hAnsi="Goudy Old Style" w:cstheme="minorHAnsi"/>
          <w:sz w:val="22"/>
          <w:szCs w:val="22"/>
        </w:rPr>
        <w:t xml:space="preserve">You may remember last month </w:t>
      </w:r>
      <w:r w:rsidR="00E171B0">
        <w:rPr>
          <w:rFonts w:ascii="Goudy Old Style" w:hAnsi="Goudy Old Style" w:cstheme="minorHAnsi"/>
          <w:sz w:val="22"/>
          <w:szCs w:val="22"/>
        </w:rPr>
        <w:t xml:space="preserve">another </w:t>
      </w:r>
      <w:hyperlink r:id="rId9" w:history="1">
        <w:r w:rsidR="00E171B0" w:rsidRPr="00E171B0">
          <w:rPr>
            <w:rStyle w:val="Hyperlink"/>
            <w:rFonts w:ascii="Goudy Old Style" w:hAnsi="Goudy Old Style" w:cstheme="minorHAnsi"/>
            <w:sz w:val="22"/>
            <w:szCs w:val="22"/>
          </w:rPr>
          <w:t>report</w:t>
        </w:r>
      </w:hyperlink>
      <w:r w:rsidR="00C744B8">
        <w:rPr>
          <w:rFonts w:ascii="Goudy Old Style" w:hAnsi="Goudy Old Style" w:cstheme="minorHAnsi"/>
          <w:sz w:val="22"/>
          <w:szCs w:val="22"/>
        </w:rPr>
        <w:t xml:space="preserve"> found the same</w:t>
      </w:r>
      <w:r w:rsidR="00E171B0">
        <w:rPr>
          <w:rFonts w:ascii="Goudy Old Style" w:hAnsi="Goudy Old Style" w:cstheme="minorHAnsi"/>
          <w:sz w:val="22"/>
          <w:szCs w:val="22"/>
        </w:rPr>
        <w:t xml:space="preserve">. Both reports were based on similar data so it is not surprising they found similar results. </w:t>
      </w:r>
    </w:p>
    <w:p w14:paraId="082A4CE8" w14:textId="77777777" w:rsidR="0080310E" w:rsidRDefault="0080310E" w:rsidP="004B7C5F">
      <w:pPr>
        <w:rPr>
          <w:rFonts w:ascii="Goudy Old Style" w:hAnsi="Goudy Old Style" w:cstheme="minorHAnsi"/>
          <w:sz w:val="22"/>
          <w:szCs w:val="22"/>
        </w:rPr>
      </w:pPr>
    </w:p>
    <w:p w14:paraId="2E6FDE46" w14:textId="7E014C8F" w:rsidR="006C06AD" w:rsidRDefault="0080310E" w:rsidP="004B7C5F">
      <w:p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One difference is that t</w:t>
      </w:r>
      <w:r w:rsidR="00E171B0">
        <w:rPr>
          <w:rFonts w:ascii="Goudy Old Style" w:hAnsi="Goudy Old Style" w:cstheme="minorHAnsi"/>
          <w:sz w:val="22"/>
          <w:szCs w:val="22"/>
        </w:rPr>
        <w:t xml:space="preserve">his most recent report sheds </w:t>
      </w:r>
      <w:r w:rsidR="00C65AA1">
        <w:rPr>
          <w:rFonts w:ascii="Goudy Old Style" w:hAnsi="Goudy Old Style" w:cstheme="minorHAnsi"/>
          <w:sz w:val="22"/>
          <w:szCs w:val="22"/>
        </w:rPr>
        <w:t>a brighter light on disparities between different groups of students</w:t>
      </w:r>
      <w:r w:rsidR="00EE0F7C">
        <w:rPr>
          <w:rFonts w:ascii="Goudy Old Style" w:hAnsi="Goudy Old Style" w:cstheme="minorHAnsi"/>
          <w:sz w:val="22"/>
          <w:szCs w:val="22"/>
        </w:rPr>
        <w:t xml:space="preserve">. An examination of EdWeek’s data shows that in </w:t>
      </w:r>
      <w:r w:rsidR="00C65AA1">
        <w:rPr>
          <w:rFonts w:ascii="Goudy Old Style" w:hAnsi="Goudy Old Style" w:cstheme="minorHAnsi"/>
          <w:sz w:val="22"/>
          <w:szCs w:val="22"/>
        </w:rPr>
        <w:t xml:space="preserve">2013—the most recent year graduation rate data is available—the poverty gap in on-time graduation rates is as large as 16 percentage points in Minnesota to just one percentage point in Kentucky. </w:t>
      </w:r>
      <w:r w:rsidR="00EE0F7C">
        <w:rPr>
          <w:rFonts w:ascii="Goudy Old Style" w:hAnsi="Goudy Old Style" w:cstheme="minorHAnsi"/>
          <w:sz w:val="22"/>
          <w:szCs w:val="22"/>
        </w:rPr>
        <w:t xml:space="preserve"> </w:t>
      </w:r>
      <w:r w:rsidR="00B85C3B">
        <w:rPr>
          <w:rFonts w:ascii="Goudy Old Style" w:hAnsi="Goudy Old Style" w:cstheme="minorHAnsi"/>
          <w:sz w:val="22"/>
          <w:szCs w:val="22"/>
        </w:rPr>
        <w:t>Nationally,</w:t>
      </w:r>
      <w:r w:rsidR="00C65AA1">
        <w:rPr>
          <w:rFonts w:ascii="Goudy Old Style" w:hAnsi="Goudy Old Style" w:cstheme="minorHAnsi"/>
          <w:sz w:val="22"/>
          <w:szCs w:val="22"/>
        </w:rPr>
        <w:t xml:space="preserve"> the gap between white students and their black and Hispanic classmates </w:t>
      </w:r>
      <w:r w:rsidR="00B85C3B">
        <w:rPr>
          <w:rFonts w:ascii="Goudy Old Style" w:hAnsi="Goudy Old Style" w:cstheme="minorHAnsi"/>
          <w:sz w:val="22"/>
          <w:szCs w:val="22"/>
        </w:rPr>
        <w:t>continues to narrow. Again, the gaps differ significantly from state to state.</w:t>
      </w:r>
    </w:p>
    <w:p w14:paraId="14E43806" w14:textId="77777777" w:rsidR="006C06AD" w:rsidRDefault="006C06AD" w:rsidP="004B7C5F">
      <w:pPr>
        <w:rPr>
          <w:rFonts w:ascii="Goudy Old Style" w:hAnsi="Goudy Old Style" w:cstheme="minorHAnsi"/>
          <w:sz w:val="22"/>
          <w:szCs w:val="22"/>
        </w:rPr>
      </w:pPr>
    </w:p>
    <w:p w14:paraId="62CEC34A" w14:textId="296B5E8A" w:rsidR="00C65AA1" w:rsidRDefault="00B85C3B" w:rsidP="00FE3AC2">
      <w:p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While the overall story </w:t>
      </w:r>
      <w:r w:rsidR="006C06AD">
        <w:rPr>
          <w:rFonts w:ascii="Goudy Old Style" w:hAnsi="Goudy Old Style" w:cstheme="minorHAnsi"/>
          <w:sz w:val="22"/>
          <w:szCs w:val="22"/>
        </w:rPr>
        <w:t xml:space="preserve">is certainly good news, </w:t>
      </w:r>
      <w:r>
        <w:rPr>
          <w:rFonts w:ascii="Goudy Old Style" w:hAnsi="Goudy Old Style" w:cstheme="minorHAnsi"/>
          <w:sz w:val="22"/>
          <w:szCs w:val="22"/>
        </w:rPr>
        <w:t>the persistent gaps are still troubling</w:t>
      </w:r>
      <w:r w:rsidR="00C65AA1">
        <w:rPr>
          <w:rFonts w:ascii="Goudy Old Style" w:hAnsi="Goudy Old Style" w:cstheme="minorHAnsi"/>
          <w:sz w:val="22"/>
          <w:szCs w:val="22"/>
        </w:rPr>
        <w:t xml:space="preserve">. Gaps are particularly large between special education students and </w:t>
      </w:r>
      <w:r w:rsidR="00E65033">
        <w:rPr>
          <w:rFonts w:ascii="Goudy Old Style" w:hAnsi="Goudy Old Style" w:cstheme="minorHAnsi"/>
          <w:sz w:val="22"/>
          <w:szCs w:val="22"/>
        </w:rPr>
        <w:t>the general student population as well as between English Language Learners (ELL) and native English spea</w:t>
      </w:r>
      <w:r w:rsidR="006C06AD">
        <w:rPr>
          <w:rFonts w:ascii="Goudy Old Style" w:hAnsi="Goudy Old Style" w:cstheme="minorHAnsi"/>
          <w:sz w:val="22"/>
          <w:szCs w:val="22"/>
        </w:rPr>
        <w:t>kers</w:t>
      </w:r>
      <w:r>
        <w:rPr>
          <w:rFonts w:ascii="Goudy Old Style" w:hAnsi="Goudy Old Style" w:cstheme="minorHAnsi"/>
          <w:sz w:val="22"/>
          <w:szCs w:val="22"/>
        </w:rPr>
        <w:t xml:space="preserve">. </w:t>
      </w:r>
      <w:r w:rsidR="00144C95">
        <w:rPr>
          <w:rFonts w:ascii="Goudy Old Style" w:hAnsi="Goudy Old Style" w:cstheme="minorHAnsi"/>
          <w:sz w:val="22"/>
          <w:szCs w:val="22"/>
        </w:rPr>
        <w:t xml:space="preserve">So while significant progress has been made, there is a lot more work to be done until all students enter high school with a similar chance to graduate high school four years later. </w:t>
      </w:r>
    </w:p>
    <w:p w14:paraId="2F9504C9" w14:textId="77777777" w:rsidR="00E65033" w:rsidRPr="00AE2A80" w:rsidRDefault="00E65033" w:rsidP="00FE3AC2">
      <w:pPr>
        <w:rPr>
          <w:rFonts w:ascii="Goudy Old Style" w:hAnsi="Goudy Old Style" w:cstheme="minorHAnsi"/>
          <w:b/>
          <w:sz w:val="22"/>
          <w:szCs w:val="22"/>
        </w:rPr>
      </w:pPr>
    </w:p>
    <w:p w14:paraId="073B56FE" w14:textId="77777777" w:rsidR="00FE3AC2" w:rsidRPr="00AE2A80" w:rsidRDefault="00FE3AC2" w:rsidP="00FE3AC2">
      <w:pPr>
        <w:rPr>
          <w:rFonts w:ascii="Gill Sans MT" w:hAnsi="Gill Sans MT" w:cstheme="minorHAnsi"/>
          <w:b/>
        </w:rPr>
      </w:pPr>
      <w:r w:rsidRPr="00AE2A80">
        <w:rPr>
          <w:rFonts w:ascii="Gill Sans MT" w:hAnsi="Gill Sans MT" w:cstheme="minorHAnsi"/>
          <w:b/>
        </w:rPr>
        <w:t>The Findings</w:t>
      </w:r>
    </w:p>
    <w:p w14:paraId="0A850533" w14:textId="77777777" w:rsidR="00FE3AC2" w:rsidRPr="00AE2A80" w:rsidRDefault="00FE3AC2" w:rsidP="00FE3AC2">
      <w:pPr>
        <w:rPr>
          <w:rFonts w:ascii="Goudy Old Style" w:hAnsi="Goudy Old Style" w:cstheme="minorHAnsi"/>
          <w:b/>
          <w:sz w:val="22"/>
          <w:szCs w:val="22"/>
        </w:rPr>
      </w:pPr>
    </w:p>
    <w:p w14:paraId="3632D765" w14:textId="77777777" w:rsidR="00C0397B" w:rsidRPr="00AE2A80" w:rsidRDefault="00C0397B" w:rsidP="00C0397B">
      <w:pPr>
        <w:ind w:firstLine="360"/>
        <w:rPr>
          <w:rFonts w:ascii="Gill Sans MT" w:hAnsi="Gill Sans MT" w:cstheme="minorHAnsi"/>
          <w:b/>
          <w:i/>
        </w:rPr>
      </w:pPr>
      <w:r w:rsidRPr="00AE2A80">
        <w:rPr>
          <w:rFonts w:ascii="Gill Sans MT" w:hAnsi="Gill Sans MT" w:cstheme="minorHAnsi"/>
          <w:b/>
          <w:i/>
        </w:rPr>
        <w:t xml:space="preserve">National </w:t>
      </w:r>
      <w:r>
        <w:rPr>
          <w:rFonts w:ascii="Gill Sans MT" w:hAnsi="Gill Sans MT" w:cstheme="minorHAnsi"/>
          <w:b/>
          <w:i/>
        </w:rPr>
        <w:t>Graduation Rates</w:t>
      </w:r>
    </w:p>
    <w:p w14:paraId="577E1A60" w14:textId="77777777" w:rsidR="00C0397B" w:rsidRDefault="00C0397B" w:rsidP="00C0397B">
      <w:pPr>
        <w:numPr>
          <w:ilvl w:val="0"/>
          <w:numId w:val="2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The national graduation rate hit another all-time high.</w:t>
      </w:r>
    </w:p>
    <w:p w14:paraId="1BC6C92B" w14:textId="5A09330E" w:rsidR="00C0397B" w:rsidRPr="00903BD8" w:rsidRDefault="00C0397B" w:rsidP="00C0397B">
      <w:pPr>
        <w:numPr>
          <w:ilvl w:val="1"/>
          <w:numId w:val="2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Eighty-one percent of students who entered 9</w:t>
      </w:r>
      <w:r w:rsidRPr="003D3FC4">
        <w:rPr>
          <w:rFonts w:ascii="Goudy Old Style" w:hAnsi="Goudy Old Style" w:cstheme="minorHAnsi"/>
          <w:sz w:val="22"/>
          <w:szCs w:val="22"/>
          <w:vertAlign w:val="superscript"/>
        </w:rPr>
        <w:t>th</w:t>
      </w:r>
      <w:r>
        <w:rPr>
          <w:rFonts w:ascii="Goudy Old Style" w:hAnsi="Goudy Old Style" w:cstheme="minorHAnsi"/>
          <w:sz w:val="22"/>
          <w:szCs w:val="22"/>
        </w:rPr>
        <w:t xml:space="preserve"> grade in the fall of 2009 graduated with at least a standard high school </w:t>
      </w:r>
      <w:r w:rsidR="00B85C3B">
        <w:rPr>
          <w:rFonts w:ascii="Goudy Old Style" w:hAnsi="Goudy Old Style" w:cstheme="minorHAnsi"/>
          <w:sz w:val="22"/>
          <w:szCs w:val="22"/>
        </w:rPr>
        <w:t>diploma by the summer of 2013 -- t</w:t>
      </w:r>
      <w:r>
        <w:rPr>
          <w:rFonts w:ascii="Goudy Old Style" w:hAnsi="Goudy Old Style" w:cstheme="minorHAnsi"/>
          <w:sz w:val="22"/>
          <w:szCs w:val="22"/>
        </w:rPr>
        <w:t xml:space="preserve">he highest level seen since the late 1960s. </w:t>
      </w:r>
    </w:p>
    <w:p w14:paraId="34202680" w14:textId="77777777" w:rsidR="00C0397B" w:rsidRDefault="00C0397B" w:rsidP="00C0397B">
      <w:pPr>
        <w:numPr>
          <w:ilvl w:val="2"/>
          <w:numId w:val="2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Between 2011 and 2013 the graduation rate increased 2 points. </w:t>
      </w:r>
    </w:p>
    <w:p w14:paraId="5071D8F6" w14:textId="77777777" w:rsidR="00C0397B" w:rsidRDefault="00C0397B" w:rsidP="00C0397B">
      <w:pPr>
        <w:numPr>
          <w:ilvl w:val="2"/>
          <w:numId w:val="2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Graduation rates had remained relatively stagnant between the late 1960s and early 2000’s. </w:t>
      </w:r>
    </w:p>
    <w:p w14:paraId="3A9D34C0" w14:textId="77777777" w:rsidR="00C0397B" w:rsidRPr="00C74FF3" w:rsidRDefault="00C0397B" w:rsidP="00C0397B">
      <w:pPr>
        <w:numPr>
          <w:ilvl w:val="0"/>
          <w:numId w:val="2"/>
        </w:numPr>
        <w:rPr>
          <w:rFonts w:ascii="Goudy Old Style" w:hAnsi="Goudy Old Style" w:cstheme="minorHAnsi"/>
          <w:sz w:val="22"/>
          <w:szCs w:val="22"/>
        </w:rPr>
      </w:pPr>
      <w:r w:rsidRPr="00C74FF3">
        <w:rPr>
          <w:rFonts w:ascii="Goudy Old Style" w:hAnsi="Goudy Old Style" w:cstheme="minorHAnsi"/>
          <w:sz w:val="22"/>
          <w:szCs w:val="22"/>
        </w:rPr>
        <w:t>L</w:t>
      </w:r>
      <w:r>
        <w:rPr>
          <w:rFonts w:ascii="Goudy Old Style" w:hAnsi="Goudy Old Style" w:cstheme="minorHAnsi"/>
          <w:sz w:val="22"/>
          <w:szCs w:val="22"/>
        </w:rPr>
        <w:t xml:space="preserve">arge attainment gaps also remain between traditionally disadvantaged groups and their more advantaged classmates. </w:t>
      </w:r>
    </w:p>
    <w:p w14:paraId="3BFD8C5B" w14:textId="77777777" w:rsidR="00C0397B" w:rsidRDefault="00C0397B" w:rsidP="00C0397B">
      <w:pPr>
        <w:numPr>
          <w:ilvl w:val="1"/>
          <w:numId w:val="2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16 point gap between white and black students (71 and 87 percent).</w:t>
      </w:r>
    </w:p>
    <w:p w14:paraId="08FE5A66" w14:textId="2F9E33F4" w:rsidR="00C0397B" w:rsidRDefault="00C0397B" w:rsidP="00C0397B">
      <w:pPr>
        <w:numPr>
          <w:ilvl w:val="1"/>
          <w:numId w:val="2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12 point gap between white and Hispan</w:t>
      </w:r>
      <w:r w:rsidR="00B85C3B">
        <w:rPr>
          <w:rFonts w:ascii="Goudy Old Style" w:hAnsi="Goudy Old Style" w:cstheme="minorHAnsi"/>
          <w:sz w:val="22"/>
          <w:szCs w:val="22"/>
        </w:rPr>
        <w:t>ic students (75 and 87 percent)</w:t>
      </w:r>
      <w:r>
        <w:rPr>
          <w:rFonts w:ascii="Goudy Old Style" w:hAnsi="Goudy Old Style" w:cstheme="minorHAnsi"/>
          <w:sz w:val="22"/>
          <w:szCs w:val="22"/>
        </w:rPr>
        <w:t>.</w:t>
      </w:r>
    </w:p>
    <w:p w14:paraId="20DEBEA4" w14:textId="77777777" w:rsidR="00C0397B" w:rsidRDefault="00C0397B" w:rsidP="00C0397B">
      <w:pPr>
        <w:numPr>
          <w:ilvl w:val="1"/>
          <w:numId w:val="2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Seventy-three percent of students from economically disadvantaged families graduated on-time.</w:t>
      </w:r>
    </w:p>
    <w:p w14:paraId="1C446D47" w14:textId="77777777" w:rsidR="00C0397B" w:rsidRDefault="00C0397B" w:rsidP="00C0397B">
      <w:pPr>
        <w:numPr>
          <w:ilvl w:val="2"/>
          <w:numId w:val="2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This is 8 points lower than the national average.</w:t>
      </w:r>
    </w:p>
    <w:p w14:paraId="0820EC27" w14:textId="77777777" w:rsidR="00C0397B" w:rsidRDefault="00C0397B" w:rsidP="00C0397B">
      <w:pPr>
        <w:numPr>
          <w:ilvl w:val="1"/>
          <w:numId w:val="2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Just 62 percent of Students with Disabilities graduated on-time.</w:t>
      </w:r>
    </w:p>
    <w:p w14:paraId="72103FD9" w14:textId="77777777" w:rsidR="00C0397B" w:rsidRPr="002104E7" w:rsidRDefault="00C0397B" w:rsidP="00C0397B">
      <w:pPr>
        <w:numPr>
          <w:ilvl w:val="2"/>
          <w:numId w:val="2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This is 19 points lower than the national average. </w:t>
      </w:r>
    </w:p>
    <w:p w14:paraId="746E640F" w14:textId="77777777" w:rsidR="00C0397B" w:rsidRDefault="00C0397B" w:rsidP="00C0397B">
      <w:pPr>
        <w:numPr>
          <w:ilvl w:val="1"/>
          <w:numId w:val="2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Only 61 percent of Limited English Proficient students graduated on-time.</w:t>
      </w:r>
    </w:p>
    <w:p w14:paraId="3687DCED" w14:textId="60262E73" w:rsidR="00C0397B" w:rsidRPr="00C0397B" w:rsidRDefault="00C0397B" w:rsidP="00C0397B">
      <w:pPr>
        <w:numPr>
          <w:ilvl w:val="2"/>
          <w:numId w:val="2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This is 20 points lower than the national average.</w:t>
      </w:r>
    </w:p>
    <w:p w14:paraId="5E89356D" w14:textId="77777777" w:rsidR="00C0397B" w:rsidRDefault="00C0397B" w:rsidP="00FE3AC2">
      <w:pPr>
        <w:ind w:firstLine="360"/>
        <w:rPr>
          <w:rFonts w:ascii="Gill Sans MT" w:hAnsi="Gill Sans MT" w:cstheme="minorHAnsi"/>
          <w:b/>
          <w:i/>
        </w:rPr>
      </w:pPr>
    </w:p>
    <w:p w14:paraId="2C252E79" w14:textId="77777777" w:rsidR="00FE3AC2" w:rsidRPr="00AE2A80" w:rsidRDefault="00E444D2" w:rsidP="00FE3AC2">
      <w:pPr>
        <w:ind w:firstLine="360"/>
        <w:rPr>
          <w:rFonts w:ascii="Gill Sans MT" w:hAnsi="Gill Sans MT" w:cstheme="minorHAnsi"/>
          <w:b/>
          <w:i/>
        </w:rPr>
      </w:pPr>
      <w:r>
        <w:rPr>
          <w:rFonts w:ascii="Gill Sans MT" w:hAnsi="Gill Sans MT" w:cstheme="minorHAnsi"/>
          <w:b/>
          <w:i/>
        </w:rPr>
        <w:t>State Graduation Rates</w:t>
      </w:r>
    </w:p>
    <w:p w14:paraId="2974B399" w14:textId="77C2E394" w:rsidR="00FE3AC2" w:rsidRPr="00AE2A80" w:rsidRDefault="00D76845" w:rsidP="00FE3AC2">
      <w:pPr>
        <w:numPr>
          <w:ilvl w:val="0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Most states have improved t</w:t>
      </w:r>
      <w:r w:rsidR="00C0397B">
        <w:rPr>
          <w:rFonts w:ascii="Goudy Old Style" w:hAnsi="Goudy Old Style" w:cstheme="minorHAnsi"/>
          <w:sz w:val="22"/>
          <w:szCs w:val="22"/>
        </w:rPr>
        <w:t>heir graduation rates since 2011</w:t>
      </w:r>
      <w:r>
        <w:rPr>
          <w:rFonts w:ascii="Goudy Old Style" w:hAnsi="Goudy Old Style" w:cstheme="minorHAnsi"/>
          <w:sz w:val="22"/>
          <w:szCs w:val="22"/>
        </w:rPr>
        <w:t xml:space="preserve">. </w:t>
      </w:r>
    </w:p>
    <w:p w14:paraId="7D1AADAD" w14:textId="6E970E93" w:rsidR="00FE3AC2" w:rsidRPr="00AE2A80" w:rsidRDefault="00746E39" w:rsidP="00FE3AC2">
      <w:pPr>
        <w:numPr>
          <w:ilvl w:val="1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All but six states (Arizona</w:t>
      </w:r>
      <w:r w:rsidR="00D76845">
        <w:rPr>
          <w:rFonts w:ascii="Goudy Old Style" w:hAnsi="Goudy Old Style" w:cstheme="minorHAnsi"/>
          <w:sz w:val="22"/>
          <w:szCs w:val="22"/>
        </w:rPr>
        <w:t>,</w:t>
      </w:r>
      <w:r>
        <w:rPr>
          <w:rFonts w:ascii="Goudy Old Style" w:hAnsi="Goudy Old Style" w:cstheme="minorHAnsi"/>
          <w:sz w:val="22"/>
          <w:szCs w:val="22"/>
        </w:rPr>
        <w:t xml:space="preserve"> Illinois, New York, </w:t>
      </w:r>
      <w:r w:rsidR="00D76845">
        <w:rPr>
          <w:rFonts w:ascii="Goudy Old Style" w:hAnsi="Goudy Old Style" w:cstheme="minorHAnsi"/>
          <w:sz w:val="22"/>
          <w:szCs w:val="22"/>
        </w:rPr>
        <w:t>South Dakota</w:t>
      </w:r>
      <w:r>
        <w:rPr>
          <w:rFonts w:ascii="Goudy Old Style" w:hAnsi="Goudy Old Style" w:cstheme="minorHAnsi"/>
          <w:sz w:val="22"/>
          <w:szCs w:val="22"/>
        </w:rPr>
        <w:t>, Tennessee, and Wyoming</w:t>
      </w:r>
      <w:r w:rsidR="00D76845">
        <w:rPr>
          <w:rFonts w:ascii="Goudy Old Style" w:hAnsi="Goudy Old Style" w:cstheme="minorHAnsi"/>
          <w:sz w:val="22"/>
          <w:szCs w:val="22"/>
        </w:rPr>
        <w:t>) improved their on-ti</w:t>
      </w:r>
      <w:r>
        <w:rPr>
          <w:rFonts w:ascii="Goudy Old Style" w:hAnsi="Goudy Old Style" w:cstheme="minorHAnsi"/>
          <w:sz w:val="22"/>
          <w:szCs w:val="22"/>
        </w:rPr>
        <w:t>me graduation rates between 2011 and 2013</w:t>
      </w:r>
      <w:r w:rsidR="00D76845">
        <w:rPr>
          <w:rFonts w:ascii="Goudy Old Style" w:hAnsi="Goudy Old Style" w:cstheme="minorHAnsi"/>
          <w:sz w:val="22"/>
          <w:szCs w:val="22"/>
        </w:rPr>
        <w:t xml:space="preserve">. </w:t>
      </w:r>
    </w:p>
    <w:p w14:paraId="3AA79987" w14:textId="1C2825A4" w:rsidR="00D76845" w:rsidRDefault="00746E39" w:rsidP="00746E39">
      <w:pPr>
        <w:numPr>
          <w:ilvl w:val="1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Nevada </w:t>
      </w:r>
      <w:r w:rsidR="00D76845" w:rsidRPr="00746E39">
        <w:rPr>
          <w:rFonts w:ascii="Goudy Old Style" w:hAnsi="Goudy Old Style" w:cstheme="minorHAnsi"/>
          <w:sz w:val="22"/>
          <w:szCs w:val="22"/>
        </w:rPr>
        <w:t>made the greatest improvement by increasi</w:t>
      </w:r>
      <w:r>
        <w:rPr>
          <w:rFonts w:ascii="Goudy Old Style" w:hAnsi="Goudy Old Style" w:cstheme="minorHAnsi"/>
          <w:sz w:val="22"/>
          <w:szCs w:val="22"/>
        </w:rPr>
        <w:t xml:space="preserve">ng their graduation rate from 62 to 71 percent (9 points) during this same time period. </w:t>
      </w:r>
    </w:p>
    <w:p w14:paraId="50DBD285" w14:textId="4A58764F" w:rsidR="00746E39" w:rsidRDefault="00746E39" w:rsidP="00746E39">
      <w:pPr>
        <w:numPr>
          <w:ilvl w:val="2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New Mexico and Utah both improved their graduation rates by 7 points as well. </w:t>
      </w:r>
    </w:p>
    <w:p w14:paraId="633BE2B8" w14:textId="77777777" w:rsidR="00B85C3B" w:rsidRDefault="00B85C3B" w:rsidP="00B85C3B">
      <w:pPr>
        <w:ind w:left="2160"/>
        <w:rPr>
          <w:rFonts w:ascii="Goudy Old Style" w:hAnsi="Goudy Old Style" w:cstheme="minorHAnsi"/>
          <w:sz w:val="22"/>
          <w:szCs w:val="22"/>
        </w:rPr>
      </w:pPr>
    </w:p>
    <w:p w14:paraId="0B7586D6" w14:textId="77777777" w:rsidR="00B85C3B" w:rsidRPr="00746E39" w:rsidRDefault="00B85C3B" w:rsidP="00B85C3B">
      <w:pPr>
        <w:ind w:left="2160"/>
        <w:rPr>
          <w:rFonts w:ascii="Goudy Old Style" w:hAnsi="Goudy Old Style" w:cstheme="minorHAnsi"/>
          <w:sz w:val="22"/>
          <w:szCs w:val="22"/>
        </w:rPr>
      </w:pPr>
    </w:p>
    <w:p w14:paraId="4AB99AF9" w14:textId="77777777" w:rsidR="00FE3AC2" w:rsidRPr="00AE2A80" w:rsidRDefault="00D76845" w:rsidP="00FE3AC2">
      <w:pPr>
        <w:numPr>
          <w:ilvl w:val="0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lastRenderedPageBreak/>
        <w:t>Large gaps remain between states</w:t>
      </w:r>
    </w:p>
    <w:p w14:paraId="4D7B0E82" w14:textId="19C92CCB" w:rsidR="00FE3AC2" w:rsidRDefault="00746E39" w:rsidP="00D76845">
      <w:pPr>
        <w:numPr>
          <w:ilvl w:val="1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There is a 28</w:t>
      </w:r>
      <w:r w:rsidR="00D76845">
        <w:rPr>
          <w:rFonts w:ascii="Goudy Old Style" w:hAnsi="Goudy Old Style" w:cstheme="minorHAnsi"/>
          <w:sz w:val="22"/>
          <w:szCs w:val="22"/>
        </w:rPr>
        <w:t xml:space="preserve"> percentage point gap between </w:t>
      </w:r>
      <w:r>
        <w:rPr>
          <w:rFonts w:ascii="Goudy Old Style" w:hAnsi="Goudy Old Style" w:cstheme="minorHAnsi"/>
          <w:sz w:val="22"/>
          <w:szCs w:val="22"/>
        </w:rPr>
        <w:t>Iowa --</w:t>
      </w:r>
      <w:r w:rsidR="00D76845">
        <w:rPr>
          <w:rFonts w:ascii="Goudy Old Style" w:hAnsi="Goudy Old Style" w:cstheme="minorHAnsi"/>
          <w:sz w:val="22"/>
          <w:szCs w:val="22"/>
        </w:rPr>
        <w:t>the state with</w:t>
      </w:r>
      <w:r>
        <w:rPr>
          <w:rFonts w:ascii="Goudy Old Style" w:hAnsi="Goudy Old Style" w:cstheme="minorHAnsi"/>
          <w:sz w:val="22"/>
          <w:szCs w:val="22"/>
        </w:rPr>
        <w:t xml:space="preserve"> the highest graduation rate (90</w:t>
      </w:r>
      <w:r w:rsidR="00D76845">
        <w:rPr>
          <w:rFonts w:ascii="Goudy Old Style" w:hAnsi="Goudy Old Style" w:cstheme="minorHAnsi"/>
          <w:sz w:val="22"/>
          <w:szCs w:val="22"/>
        </w:rPr>
        <w:t xml:space="preserve"> percent)</w:t>
      </w:r>
      <w:r>
        <w:rPr>
          <w:rFonts w:ascii="Goudy Old Style" w:hAnsi="Goudy Old Style" w:cstheme="minorHAnsi"/>
          <w:sz w:val="22"/>
          <w:szCs w:val="22"/>
        </w:rPr>
        <w:t>-- and the District of Columbia</w:t>
      </w:r>
      <w:r w:rsidR="00D76845">
        <w:rPr>
          <w:rFonts w:ascii="Goudy Old Style" w:hAnsi="Goudy Old Style" w:cstheme="minorHAnsi"/>
          <w:sz w:val="22"/>
          <w:szCs w:val="22"/>
        </w:rPr>
        <w:t xml:space="preserve"> which ha</w:t>
      </w:r>
      <w:r>
        <w:rPr>
          <w:rFonts w:ascii="Goudy Old Style" w:hAnsi="Goudy Old Style" w:cstheme="minorHAnsi"/>
          <w:sz w:val="22"/>
          <w:szCs w:val="22"/>
        </w:rPr>
        <w:t>s the lowest graduation rate (62</w:t>
      </w:r>
      <w:r w:rsidR="00D76845">
        <w:rPr>
          <w:rFonts w:ascii="Goudy Old Style" w:hAnsi="Goudy Old Style" w:cstheme="minorHAnsi"/>
          <w:sz w:val="22"/>
          <w:szCs w:val="22"/>
        </w:rPr>
        <w:t xml:space="preserve"> percent). </w:t>
      </w:r>
    </w:p>
    <w:p w14:paraId="04E87915" w14:textId="5DA8530E" w:rsidR="001409D4" w:rsidRDefault="00746E39" w:rsidP="001409D4">
      <w:pPr>
        <w:numPr>
          <w:ilvl w:val="1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Only seven</w:t>
      </w:r>
      <w:r w:rsidR="00D76845">
        <w:rPr>
          <w:rFonts w:ascii="Goudy Old Style" w:hAnsi="Goudy Old Style" w:cstheme="minorHAnsi"/>
          <w:sz w:val="22"/>
          <w:szCs w:val="22"/>
        </w:rPr>
        <w:t xml:space="preserve"> states</w:t>
      </w:r>
      <w:r w:rsidR="00B85C3B">
        <w:rPr>
          <w:rFonts w:ascii="Goudy Old Style" w:hAnsi="Goudy Old Style" w:cstheme="minorHAnsi"/>
          <w:sz w:val="22"/>
          <w:szCs w:val="22"/>
        </w:rPr>
        <w:t xml:space="preserve"> (Alaska, District of Columbia, </w:t>
      </w:r>
      <w:r>
        <w:rPr>
          <w:rFonts w:ascii="Goudy Old Style" w:hAnsi="Goudy Old Style" w:cstheme="minorHAnsi"/>
          <w:sz w:val="22"/>
          <w:szCs w:val="22"/>
        </w:rPr>
        <w:t xml:space="preserve">Georgia, Louisiana, Nevada, New Mexico, and Oregon) </w:t>
      </w:r>
      <w:r w:rsidR="00D76845">
        <w:rPr>
          <w:rFonts w:ascii="Goudy Old Style" w:hAnsi="Goudy Old Style" w:cstheme="minorHAnsi"/>
          <w:sz w:val="22"/>
          <w:szCs w:val="22"/>
        </w:rPr>
        <w:t xml:space="preserve">have graduation rates </w:t>
      </w:r>
      <w:r>
        <w:rPr>
          <w:rFonts w:ascii="Goudy Old Style" w:hAnsi="Goudy Old Style" w:cstheme="minorHAnsi"/>
          <w:sz w:val="22"/>
          <w:szCs w:val="22"/>
        </w:rPr>
        <w:t xml:space="preserve">that fell </w:t>
      </w:r>
      <w:r w:rsidR="00D76845">
        <w:rPr>
          <w:rFonts w:ascii="Goudy Old Style" w:hAnsi="Goudy Old Style" w:cstheme="minorHAnsi"/>
          <w:sz w:val="22"/>
          <w:szCs w:val="22"/>
        </w:rPr>
        <w:t xml:space="preserve">under 75 percent while </w:t>
      </w:r>
      <w:r w:rsidR="006642D1">
        <w:rPr>
          <w:rFonts w:ascii="Goudy Old Style" w:hAnsi="Goudy Old Style" w:cstheme="minorHAnsi"/>
          <w:sz w:val="22"/>
          <w:szCs w:val="22"/>
        </w:rPr>
        <w:t>21</w:t>
      </w:r>
      <w:r w:rsidR="00594E18">
        <w:rPr>
          <w:rFonts w:ascii="Goudy Old Style" w:hAnsi="Goudy Old Style" w:cstheme="minorHAnsi"/>
          <w:sz w:val="22"/>
          <w:szCs w:val="22"/>
        </w:rPr>
        <w:t xml:space="preserve"> states have</w:t>
      </w:r>
      <w:r>
        <w:rPr>
          <w:rFonts w:ascii="Goudy Old Style" w:hAnsi="Goudy Old Style" w:cstheme="minorHAnsi"/>
          <w:sz w:val="22"/>
          <w:szCs w:val="22"/>
        </w:rPr>
        <w:t xml:space="preserve"> graduation rates of at least 85</w:t>
      </w:r>
      <w:r w:rsidR="00594E18">
        <w:rPr>
          <w:rFonts w:ascii="Goudy Old Style" w:hAnsi="Goudy Old Style" w:cstheme="minorHAnsi"/>
          <w:sz w:val="22"/>
          <w:szCs w:val="22"/>
        </w:rPr>
        <w:t xml:space="preserve"> percent. </w:t>
      </w:r>
    </w:p>
    <w:p w14:paraId="2D6386A1" w14:textId="2A28804A" w:rsidR="006642D1" w:rsidRDefault="006642D1" w:rsidP="001409D4">
      <w:pPr>
        <w:numPr>
          <w:ilvl w:val="1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In Minnesota, North Dakota, and South Dakota there is a 15 point gap between the graduation rates of economically disadvantaged students and their state averages. </w:t>
      </w:r>
    </w:p>
    <w:p w14:paraId="09DACE49" w14:textId="49D03ED2" w:rsidR="006642D1" w:rsidRDefault="006642D1" w:rsidP="006642D1">
      <w:pPr>
        <w:numPr>
          <w:ilvl w:val="2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In six states</w:t>
      </w:r>
      <w:r w:rsidR="000E21F2">
        <w:rPr>
          <w:rFonts w:ascii="Goudy Old Style" w:hAnsi="Goudy Old Style" w:cstheme="minorHAnsi"/>
          <w:sz w:val="22"/>
          <w:szCs w:val="22"/>
        </w:rPr>
        <w:t xml:space="preserve"> (Texas, Arkansas, Kentucky, Hawaii, Indiana, and District of Columbia)</w:t>
      </w:r>
      <w:r>
        <w:rPr>
          <w:rFonts w:ascii="Goudy Old Style" w:hAnsi="Goudy Old Style" w:cstheme="minorHAnsi"/>
          <w:sz w:val="22"/>
          <w:szCs w:val="22"/>
        </w:rPr>
        <w:t xml:space="preserve"> the gap is 5 points or less. </w:t>
      </w:r>
      <w:bookmarkStart w:id="0" w:name="_GoBack"/>
      <w:bookmarkEnd w:id="0"/>
    </w:p>
    <w:p w14:paraId="22961E9E" w14:textId="34649C3D" w:rsidR="006642D1" w:rsidRDefault="006642D1" w:rsidP="006642D1">
      <w:pPr>
        <w:numPr>
          <w:ilvl w:val="1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In Mississippi just 23 percent of Students with Disabilities (SWD) graduated on-time which is 53 points lower than the state average (76 percent). Mississippi had both the lowest graduation rates for SWD and the largest gap. </w:t>
      </w:r>
    </w:p>
    <w:p w14:paraId="6426DF03" w14:textId="5C130D4E" w:rsidR="006642D1" w:rsidRDefault="006642D1" w:rsidP="006642D1">
      <w:pPr>
        <w:numPr>
          <w:ilvl w:val="2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On the other end of the spectrum </w:t>
      </w:r>
      <w:r w:rsidR="004A5FA8">
        <w:rPr>
          <w:rFonts w:ascii="Goudy Old Style" w:hAnsi="Goudy Old Style" w:cstheme="minorHAnsi"/>
          <w:sz w:val="22"/>
          <w:szCs w:val="22"/>
        </w:rPr>
        <w:t xml:space="preserve">Arkansas had the highest graduation rate for SWK (80 percent) while Alabama had the smallest gap (3 points). </w:t>
      </w:r>
    </w:p>
    <w:p w14:paraId="70CBF8C2" w14:textId="75385B08" w:rsidR="004A5FA8" w:rsidRDefault="004A5FA8" w:rsidP="004A5FA8">
      <w:pPr>
        <w:numPr>
          <w:ilvl w:val="1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Three states (New Hampshire, North Dakota, and Texas) had graduation rates over 80 percent for black students. </w:t>
      </w:r>
    </w:p>
    <w:p w14:paraId="163AF8AE" w14:textId="4056287B" w:rsidR="004A5FA8" w:rsidRDefault="004A5FA8" w:rsidP="004A5FA8">
      <w:pPr>
        <w:numPr>
          <w:ilvl w:val="2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Three states (Minnesota, Nevada, and Oregon) had graduation rates of less than 60 percent for their black students. </w:t>
      </w:r>
    </w:p>
    <w:p w14:paraId="7CA8DD22" w14:textId="06239221" w:rsidR="004A5FA8" w:rsidRDefault="004A5FA8" w:rsidP="004A5FA8">
      <w:pPr>
        <w:numPr>
          <w:ilvl w:val="1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Eleven states graduated at least 80 percent of their Hispanic students on-time.</w:t>
      </w:r>
    </w:p>
    <w:p w14:paraId="798F3650" w14:textId="3ADEF3C7" w:rsidR="004A5FA8" w:rsidRDefault="004A5FA8" w:rsidP="004A5FA8">
      <w:pPr>
        <w:numPr>
          <w:ilvl w:val="2"/>
          <w:numId w:val="5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Minnesota was the only state to graduate less than 60 percent of their Hispanic students. </w:t>
      </w:r>
    </w:p>
    <w:p w14:paraId="39DA9766" w14:textId="77777777" w:rsidR="003D0D74" w:rsidRPr="003D3FC4" w:rsidRDefault="003D0D74" w:rsidP="003D0D74">
      <w:pPr>
        <w:rPr>
          <w:rFonts w:ascii="Goudy Old Style" w:hAnsi="Goudy Old Style" w:cstheme="minorHAnsi"/>
          <w:sz w:val="22"/>
          <w:szCs w:val="22"/>
        </w:rPr>
      </w:pPr>
    </w:p>
    <w:p w14:paraId="11EEEFE3" w14:textId="77777777" w:rsidR="00FE3AC2" w:rsidRPr="00AE2A80" w:rsidRDefault="00FE3AC2" w:rsidP="00FE3AC2">
      <w:pPr>
        <w:ind w:left="1440"/>
        <w:rPr>
          <w:rFonts w:ascii="Goudy Old Style" w:hAnsi="Goudy Old Style" w:cstheme="minorHAnsi"/>
          <w:sz w:val="22"/>
          <w:szCs w:val="22"/>
        </w:rPr>
      </w:pPr>
    </w:p>
    <w:p w14:paraId="1675840D" w14:textId="77777777" w:rsidR="00FE3AC2" w:rsidRPr="00AE2A80" w:rsidRDefault="00FE3AC2" w:rsidP="00FE3AC2">
      <w:pPr>
        <w:rPr>
          <w:rFonts w:ascii="Gill Sans MT" w:hAnsi="Gill Sans MT" w:cstheme="minorHAnsi"/>
        </w:rPr>
      </w:pPr>
      <w:r w:rsidRPr="00AE2A80">
        <w:rPr>
          <w:rFonts w:ascii="Gill Sans MT" w:hAnsi="Gill Sans MT" w:cstheme="minorHAnsi"/>
          <w:b/>
        </w:rPr>
        <w:t>Keep in mind:</w:t>
      </w:r>
    </w:p>
    <w:p w14:paraId="35579D1F" w14:textId="7A142C12" w:rsidR="00FE3AC2" w:rsidRDefault="00FB0E31" w:rsidP="00FE3AC2">
      <w:pPr>
        <w:numPr>
          <w:ilvl w:val="0"/>
          <w:numId w:val="3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Graduation rates for 2013</w:t>
      </w:r>
      <w:r w:rsidR="00C64AE9">
        <w:rPr>
          <w:rFonts w:ascii="Goudy Old Style" w:hAnsi="Goudy Old Style" w:cstheme="minorHAnsi"/>
          <w:sz w:val="22"/>
          <w:szCs w:val="22"/>
        </w:rPr>
        <w:t xml:space="preserve"> were based </w:t>
      </w:r>
      <w:r w:rsidR="00C376C3">
        <w:rPr>
          <w:rFonts w:ascii="Goudy Old Style" w:hAnsi="Goudy Old Style" w:cstheme="minorHAnsi"/>
          <w:sz w:val="22"/>
          <w:szCs w:val="22"/>
        </w:rPr>
        <w:t xml:space="preserve">on </w:t>
      </w:r>
      <w:r w:rsidR="00C64AE9">
        <w:rPr>
          <w:rFonts w:ascii="Goudy Old Style" w:hAnsi="Goudy Old Style" w:cstheme="minorHAnsi"/>
          <w:sz w:val="22"/>
          <w:szCs w:val="22"/>
        </w:rPr>
        <w:t xml:space="preserve">the </w:t>
      </w:r>
      <w:r>
        <w:rPr>
          <w:rFonts w:ascii="Goudy Old Style" w:hAnsi="Goudy Old Style" w:cstheme="minorHAnsi"/>
          <w:sz w:val="22"/>
          <w:szCs w:val="22"/>
        </w:rPr>
        <w:t>Adjusted Cohort Graduation Rate (AC</w:t>
      </w:r>
      <w:r w:rsidR="00C64AE9">
        <w:rPr>
          <w:rFonts w:ascii="Goudy Old Style" w:hAnsi="Goudy Old Style" w:cstheme="minorHAnsi"/>
          <w:sz w:val="22"/>
          <w:szCs w:val="22"/>
        </w:rPr>
        <w:t xml:space="preserve">GR) which </w:t>
      </w:r>
      <w:r>
        <w:rPr>
          <w:rFonts w:ascii="Goudy Old Style" w:hAnsi="Goudy Old Style" w:cstheme="minorHAnsi"/>
          <w:sz w:val="22"/>
          <w:szCs w:val="22"/>
        </w:rPr>
        <w:t>calculates the</w:t>
      </w:r>
      <w:r w:rsidR="00C64AE9">
        <w:rPr>
          <w:rFonts w:ascii="Goudy Old Style" w:hAnsi="Goudy Old Style" w:cstheme="minorHAnsi"/>
          <w:sz w:val="22"/>
          <w:szCs w:val="22"/>
        </w:rPr>
        <w:t xml:space="preserve"> graduation rate by </w:t>
      </w:r>
      <w:r w:rsidR="004B7C5F">
        <w:rPr>
          <w:rFonts w:ascii="Goudy Old Style" w:hAnsi="Goudy Old Style" w:cstheme="minorHAnsi"/>
          <w:sz w:val="22"/>
          <w:szCs w:val="22"/>
        </w:rPr>
        <w:t>dividing the number of 9</w:t>
      </w:r>
      <w:r w:rsidR="004B7C5F" w:rsidRPr="004B7C5F">
        <w:rPr>
          <w:rFonts w:ascii="Goudy Old Style" w:hAnsi="Goudy Old Style" w:cstheme="minorHAnsi"/>
          <w:sz w:val="22"/>
          <w:szCs w:val="22"/>
          <w:vertAlign w:val="superscript"/>
        </w:rPr>
        <w:t>th</w:t>
      </w:r>
      <w:r w:rsidR="004B7C5F">
        <w:rPr>
          <w:rFonts w:ascii="Goudy Old Style" w:hAnsi="Goudy Old Style" w:cstheme="minorHAnsi"/>
          <w:sz w:val="22"/>
          <w:szCs w:val="22"/>
        </w:rPr>
        <w:t xml:space="preserve"> graders enrolled four years earlier to the number of graduates in the current year. </w:t>
      </w:r>
    </w:p>
    <w:p w14:paraId="7D338327" w14:textId="77777777" w:rsidR="00C64AE9" w:rsidRDefault="00C64AE9" w:rsidP="00C64AE9">
      <w:pPr>
        <w:numPr>
          <w:ilvl w:val="1"/>
          <w:numId w:val="3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GED and certificates of attendance are not counted as graduates under the ACGR.</w:t>
      </w:r>
    </w:p>
    <w:p w14:paraId="3C3B67A7" w14:textId="58376B73" w:rsidR="000E32B5" w:rsidRDefault="00FB0E31" w:rsidP="00C64AE9">
      <w:pPr>
        <w:numPr>
          <w:ilvl w:val="0"/>
          <w:numId w:val="3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T</w:t>
      </w:r>
      <w:r w:rsidR="004B7C5F">
        <w:rPr>
          <w:rFonts w:ascii="Goudy Old Style" w:hAnsi="Goudy Old Style" w:cstheme="minorHAnsi"/>
          <w:sz w:val="22"/>
          <w:szCs w:val="22"/>
        </w:rPr>
        <w:t>he</w:t>
      </w:r>
      <w:r>
        <w:rPr>
          <w:rFonts w:ascii="Goudy Old Style" w:hAnsi="Goudy Old Style" w:cstheme="minorHAnsi"/>
          <w:sz w:val="22"/>
          <w:szCs w:val="22"/>
        </w:rPr>
        <w:t xml:space="preserve"> AC</w:t>
      </w:r>
      <w:r w:rsidR="000E32B5">
        <w:rPr>
          <w:rFonts w:ascii="Goudy Old Style" w:hAnsi="Goudy Old Style" w:cstheme="minorHAnsi"/>
          <w:sz w:val="22"/>
          <w:szCs w:val="22"/>
        </w:rPr>
        <w:t xml:space="preserve">GR represent on-time graduation rates and don’t include those students who took longer than four years to graduate with a standard high school diploma. As CPE’s report </w:t>
      </w:r>
      <w:hyperlink r:id="rId10" w:history="1">
        <w:r w:rsidR="000E32B5" w:rsidRPr="002302CE">
          <w:rPr>
            <w:rStyle w:val="Hyperlink"/>
            <w:rFonts w:ascii="Goudy Old Style" w:hAnsi="Goudy Old Style" w:cstheme="minorHAnsi"/>
            <w:b/>
            <w:sz w:val="22"/>
            <w:szCs w:val="22"/>
          </w:rPr>
          <w:t>Better Late Than Never</w:t>
        </w:r>
      </w:hyperlink>
      <w:r w:rsidR="00B85C3B">
        <w:rPr>
          <w:rFonts w:ascii="Goudy Old Style" w:hAnsi="Goudy Old Style" w:cstheme="minorHAnsi"/>
          <w:sz w:val="22"/>
          <w:szCs w:val="22"/>
        </w:rPr>
        <w:t xml:space="preserve"> found,</w:t>
      </w:r>
      <w:r w:rsidR="000E32B5">
        <w:rPr>
          <w:rFonts w:ascii="Goudy Old Style" w:hAnsi="Goudy Old Style" w:cstheme="minorHAnsi"/>
          <w:sz w:val="22"/>
          <w:szCs w:val="22"/>
        </w:rPr>
        <w:t xml:space="preserve"> graduation rates would likely increase by 5 percentage points if late high school graduates were included. </w:t>
      </w:r>
    </w:p>
    <w:p w14:paraId="5F449D6D" w14:textId="62798269" w:rsidR="00FB0E31" w:rsidRDefault="00FB0E31" w:rsidP="00C64AE9">
      <w:pPr>
        <w:numPr>
          <w:ilvl w:val="0"/>
          <w:numId w:val="3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While each state calculates their graduation similarly, states have fairly wide discretion on how to categorize students into groups. For example, </w:t>
      </w:r>
      <w:r w:rsidRPr="00FB0E31">
        <w:rPr>
          <w:rFonts w:ascii="Goudy Old Style" w:hAnsi="Goudy Old Style" w:cstheme="minorHAnsi"/>
          <w:sz w:val="22"/>
          <w:szCs w:val="22"/>
        </w:rPr>
        <w:t>a student who exits special education in grade 11 might be included in the special education graduation rate in one state, but not in another.</w:t>
      </w:r>
    </w:p>
    <w:p w14:paraId="4F53F20B" w14:textId="309D58F2" w:rsidR="00FB0E31" w:rsidRPr="00C64AE9" w:rsidRDefault="00FB0E31" w:rsidP="00C64AE9">
      <w:pPr>
        <w:numPr>
          <w:ilvl w:val="0"/>
          <w:numId w:val="3"/>
        </w:num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Furthermore, each states has different requirements to obtain a regular high school diploma.</w:t>
      </w:r>
    </w:p>
    <w:p w14:paraId="4E044E81" w14:textId="77777777" w:rsidR="00FE3AC2" w:rsidRPr="00AE2A80" w:rsidRDefault="00FE3AC2" w:rsidP="00FE3AC2">
      <w:pPr>
        <w:rPr>
          <w:rFonts w:ascii="Goudy Old Style" w:hAnsi="Goudy Old Style" w:cstheme="minorHAnsi"/>
          <w:b/>
          <w:sz w:val="22"/>
          <w:szCs w:val="22"/>
        </w:rPr>
      </w:pPr>
    </w:p>
    <w:p w14:paraId="164486BA" w14:textId="77777777" w:rsidR="00FE3AC2" w:rsidRPr="00AE2A80" w:rsidRDefault="004B7C5F" w:rsidP="00FE3AC2">
      <w:pPr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State by State Graduation Rates:</w:t>
      </w:r>
    </w:p>
    <w:p w14:paraId="0F52CD41" w14:textId="1A1CD5D9" w:rsidR="004B7C5F" w:rsidRDefault="000E21F2" w:rsidP="000845F2">
      <w:pPr>
        <w:tabs>
          <w:tab w:val="left" w:pos="5859"/>
        </w:tabs>
      </w:pPr>
      <w:hyperlink r:id="rId11" w:history="1">
        <w:r w:rsidR="00FB0E31" w:rsidRPr="005353B4">
          <w:rPr>
            <w:rStyle w:val="Hyperlink"/>
          </w:rPr>
          <w:t>http://www.edweek.org/media/graduation-rate-pdf-download-education-week-diplomas-count.pdf</w:t>
        </w:r>
      </w:hyperlink>
    </w:p>
    <w:p w14:paraId="6CF7BE85" w14:textId="77777777" w:rsidR="00FB0E31" w:rsidRDefault="00FB0E31" w:rsidP="000845F2">
      <w:pPr>
        <w:tabs>
          <w:tab w:val="left" w:pos="5859"/>
        </w:tabs>
        <w:rPr>
          <w:rFonts w:ascii="Garamond" w:hAnsi="Garamond"/>
          <w:noProof/>
          <w:sz w:val="22"/>
        </w:rPr>
      </w:pPr>
    </w:p>
    <w:p w14:paraId="7698E896" w14:textId="77777777" w:rsidR="004B7C5F" w:rsidRDefault="004B7C5F" w:rsidP="000845F2">
      <w:pPr>
        <w:tabs>
          <w:tab w:val="left" w:pos="5859"/>
        </w:tabs>
        <w:rPr>
          <w:rFonts w:ascii="Garamond" w:hAnsi="Garamond"/>
          <w:noProof/>
          <w:sz w:val="22"/>
        </w:rPr>
      </w:pPr>
    </w:p>
    <w:p w14:paraId="631FC89D" w14:textId="77777777" w:rsidR="004B7C5F" w:rsidRPr="00133424" w:rsidRDefault="004B7C5F" w:rsidP="000845F2">
      <w:pPr>
        <w:tabs>
          <w:tab w:val="left" w:pos="5859"/>
        </w:tabs>
        <w:rPr>
          <w:rFonts w:ascii="Garamond" w:hAnsi="Garamond"/>
          <w:sz w:val="22"/>
        </w:rPr>
      </w:pPr>
    </w:p>
    <w:sectPr w:rsidR="004B7C5F" w:rsidRPr="00133424" w:rsidSect="00A8192E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3A130" w14:textId="77777777" w:rsidR="00ED0111" w:rsidRDefault="00ED0111">
      <w:r>
        <w:separator/>
      </w:r>
    </w:p>
  </w:endnote>
  <w:endnote w:type="continuationSeparator" w:id="0">
    <w:p w14:paraId="41F6E4B5" w14:textId="77777777" w:rsidR="00ED0111" w:rsidRDefault="00ED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9A93" w14:textId="77777777" w:rsidR="00076C89" w:rsidRDefault="00CB2FC1" w:rsidP="006147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76C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19FFD" w14:textId="77777777" w:rsidR="00076C89" w:rsidRDefault="00076C89" w:rsidP="006147A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8" w:type="dxa"/>
      <w:tblLayout w:type="fixed"/>
      <w:tblLook w:val="00A0" w:firstRow="1" w:lastRow="0" w:firstColumn="1" w:lastColumn="0" w:noHBand="0" w:noVBand="0"/>
    </w:tblPr>
    <w:tblGrid>
      <w:gridCol w:w="10188"/>
      <w:gridCol w:w="450"/>
    </w:tblGrid>
    <w:tr w:rsidR="00076C89" w:rsidRPr="00133424" w14:paraId="466BF916" w14:textId="77777777" w:rsidTr="00BF109E">
      <w:tc>
        <w:tcPr>
          <w:tcW w:w="10188" w:type="dxa"/>
          <w:tcBorders>
            <w:top w:val="single" w:sz="4" w:space="0" w:color="auto"/>
          </w:tcBorders>
          <w:shd w:val="clear" w:color="auto" w:fill="auto"/>
        </w:tcPr>
        <w:p w14:paraId="64974CE1" w14:textId="77777777" w:rsidR="00076C89" w:rsidRPr="00B84270" w:rsidRDefault="00CB2FC1" w:rsidP="009C08A2">
          <w:pPr>
            <w:jc w:val="right"/>
            <w:rPr>
              <w:rFonts w:ascii="Gill Sans MT" w:hAnsi="Gill Sans MT"/>
              <w:sz w:val="16"/>
            </w:rPr>
          </w:pPr>
          <w:r w:rsidRPr="00B84270">
            <w:rPr>
              <w:rFonts w:ascii="Gill Sans MT" w:hAnsi="Gill Sans MT"/>
              <w:sz w:val="16"/>
            </w:rPr>
            <w:fldChar w:fldCharType="begin"/>
          </w:r>
          <w:r w:rsidR="00076C89" w:rsidRPr="00B84270">
            <w:rPr>
              <w:rFonts w:ascii="Gill Sans MT" w:hAnsi="Gill Sans MT"/>
              <w:sz w:val="16"/>
            </w:rPr>
            <w:instrText xml:space="preserve"> TIME \@ "MMMM d, yyyy" </w:instrText>
          </w:r>
          <w:r w:rsidRPr="00B84270">
            <w:rPr>
              <w:rFonts w:ascii="Gill Sans MT" w:hAnsi="Gill Sans MT"/>
              <w:sz w:val="16"/>
            </w:rPr>
            <w:fldChar w:fldCharType="separate"/>
          </w:r>
          <w:r w:rsidR="000E21F2">
            <w:rPr>
              <w:rFonts w:ascii="Gill Sans MT" w:hAnsi="Gill Sans MT"/>
              <w:noProof/>
              <w:sz w:val="16"/>
            </w:rPr>
            <w:t>June 4, 2015</w:t>
          </w:r>
          <w:r w:rsidRPr="00B84270">
            <w:rPr>
              <w:rFonts w:ascii="Gill Sans MT" w:hAnsi="Gill Sans MT"/>
              <w:sz w:val="16"/>
            </w:rPr>
            <w:fldChar w:fldCharType="end"/>
          </w:r>
        </w:p>
      </w:tc>
      <w:tc>
        <w:tcPr>
          <w:tcW w:w="450" w:type="dxa"/>
          <w:shd w:val="clear" w:color="auto" w:fill="auto"/>
        </w:tcPr>
        <w:p w14:paraId="1B6D2D35" w14:textId="77777777" w:rsidR="00076C89" w:rsidRPr="00133424" w:rsidRDefault="00076C89" w:rsidP="009F4806">
          <w:pPr>
            <w:pStyle w:val="Footer"/>
            <w:jc w:val="right"/>
          </w:pPr>
        </w:p>
      </w:tc>
    </w:tr>
  </w:tbl>
  <w:p w14:paraId="373F88A0" w14:textId="77777777" w:rsidR="00076C89" w:rsidRPr="00133424" w:rsidRDefault="00076C89" w:rsidP="00614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3A526" w14:textId="77777777" w:rsidR="00ED0111" w:rsidRDefault="00ED0111">
      <w:r>
        <w:separator/>
      </w:r>
    </w:p>
  </w:footnote>
  <w:footnote w:type="continuationSeparator" w:id="0">
    <w:p w14:paraId="55E51611" w14:textId="77777777" w:rsidR="00ED0111" w:rsidRDefault="00ED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92C47" w14:textId="77777777" w:rsidR="00076C89" w:rsidRDefault="00076C89" w:rsidP="0013418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8DBAF" w14:textId="77777777" w:rsidR="00076C89" w:rsidRDefault="00730F54" w:rsidP="007E60F3">
    <w:pPr>
      <w:pStyle w:val="Header"/>
      <w:pBdr>
        <w:bottom w:val="single" w:sz="4" w:space="1" w:color="auto"/>
      </w:pBdr>
      <w:ind w:left="0"/>
      <w:jc w:val="left"/>
    </w:pPr>
    <w:r>
      <w:ptab w:relativeTo="margin" w:alignment="left" w:leader="none"/>
    </w:r>
    <w:r>
      <w:ptab w:relativeTo="indent" w:alignment="center" w:leader="none"/>
    </w:r>
    <w:r w:rsidR="0037611A">
      <w:rPr>
        <w:noProof/>
      </w:rPr>
      <w:drawing>
        <wp:inline distT="0" distB="0" distL="0" distR="0" wp14:anchorId="51A735EE" wp14:editId="16CCD184">
          <wp:extent cx="2258568" cy="1259586"/>
          <wp:effectExtent l="0" t="0" r="254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E_2013_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125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730F54">
      <w:rPr>
        <w:noProof/>
      </w:rPr>
      <w:drawing>
        <wp:inline distT="0" distB="0" distL="0" distR="0" wp14:anchorId="4A8E7790" wp14:editId="568DBB82">
          <wp:extent cx="2334838" cy="1257300"/>
          <wp:effectExtent l="19050" t="0" r="8312" b="0"/>
          <wp:docPr id="9" name="Picture 4" descr="C:\Documents and Settings\jhull\My Documents\Past Reports\Report Summaries\Execs Alerts\Logos\NSBA_Logo2013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jhull\My Documents\Past Reports\Report Summaries\Execs Alerts\Logos\NSBA_Logo2013_W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71" cy="1261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320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C291D"/>
    <w:multiLevelType w:val="hybridMultilevel"/>
    <w:tmpl w:val="E9DC3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371C"/>
    <w:multiLevelType w:val="hybridMultilevel"/>
    <w:tmpl w:val="EB2E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B7A"/>
    <w:multiLevelType w:val="hybridMultilevel"/>
    <w:tmpl w:val="EA347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C2968"/>
    <w:multiLevelType w:val="hybridMultilevel"/>
    <w:tmpl w:val="764E0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AB"/>
    <w:rsid w:val="000222F5"/>
    <w:rsid w:val="00025605"/>
    <w:rsid w:val="00076C89"/>
    <w:rsid w:val="000845F2"/>
    <w:rsid w:val="000B2E03"/>
    <w:rsid w:val="000E026C"/>
    <w:rsid w:val="000E21F2"/>
    <w:rsid w:val="000E32B5"/>
    <w:rsid w:val="00134183"/>
    <w:rsid w:val="001409D4"/>
    <w:rsid w:val="00144C95"/>
    <w:rsid w:val="001533FC"/>
    <w:rsid w:val="0018392D"/>
    <w:rsid w:val="00197936"/>
    <w:rsid w:val="001C7ACB"/>
    <w:rsid w:val="001D5460"/>
    <w:rsid w:val="001E5EE6"/>
    <w:rsid w:val="002104E7"/>
    <w:rsid w:val="002130FB"/>
    <w:rsid w:val="002302CE"/>
    <w:rsid w:val="002774B5"/>
    <w:rsid w:val="0028737B"/>
    <w:rsid w:val="002B4365"/>
    <w:rsid w:val="002F2FBA"/>
    <w:rsid w:val="003319B5"/>
    <w:rsid w:val="003413C5"/>
    <w:rsid w:val="00351977"/>
    <w:rsid w:val="00352BF9"/>
    <w:rsid w:val="0037584C"/>
    <w:rsid w:val="0037611A"/>
    <w:rsid w:val="0038223B"/>
    <w:rsid w:val="00393FF8"/>
    <w:rsid w:val="003D0D74"/>
    <w:rsid w:val="003D3FC4"/>
    <w:rsid w:val="00415E93"/>
    <w:rsid w:val="004634B7"/>
    <w:rsid w:val="00487EB0"/>
    <w:rsid w:val="004A5FA8"/>
    <w:rsid w:val="004B7C5F"/>
    <w:rsid w:val="004E0CE7"/>
    <w:rsid w:val="004E131F"/>
    <w:rsid w:val="00530C9E"/>
    <w:rsid w:val="005631BB"/>
    <w:rsid w:val="00594E18"/>
    <w:rsid w:val="005A7518"/>
    <w:rsid w:val="005D5738"/>
    <w:rsid w:val="005D62B6"/>
    <w:rsid w:val="006147A5"/>
    <w:rsid w:val="00661203"/>
    <w:rsid w:val="006642D1"/>
    <w:rsid w:val="00694B58"/>
    <w:rsid w:val="006C06AD"/>
    <w:rsid w:val="006D3B73"/>
    <w:rsid w:val="006D49D9"/>
    <w:rsid w:val="00702D2A"/>
    <w:rsid w:val="0071127A"/>
    <w:rsid w:val="00730F54"/>
    <w:rsid w:val="00737F26"/>
    <w:rsid w:val="00746E39"/>
    <w:rsid w:val="0077295A"/>
    <w:rsid w:val="00777F51"/>
    <w:rsid w:val="00783899"/>
    <w:rsid w:val="007B7596"/>
    <w:rsid w:val="007E60F3"/>
    <w:rsid w:val="0080310E"/>
    <w:rsid w:val="008376A0"/>
    <w:rsid w:val="00855470"/>
    <w:rsid w:val="0088245E"/>
    <w:rsid w:val="008C1016"/>
    <w:rsid w:val="00903BD8"/>
    <w:rsid w:val="009366CC"/>
    <w:rsid w:val="009B1FD5"/>
    <w:rsid w:val="009C08A2"/>
    <w:rsid w:val="009F4806"/>
    <w:rsid w:val="00A027AB"/>
    <w:rsid w:val="00A52BDC"/>
    <w:rsid w:val="00A8192E"/>
    <w:rsid w:val="00A82A29"/>
    <w:rsid w:val="00AA0850"/>
    <w:rsid w:val="00AA540C"/>
    <w:rsid w:val="00AE2A80"/>
    <w:rsid w:val="00B178AA"/>
    <w:rsid w:val="00B536E2"/>
    <w:rsid w:val="00B703B7"/>
    <w:rsid w:val="00B84270"/>
    <w:rsid w:val="00B85C3B"/>
    <w:rsid w:val="00BD5208"/>
    <w:rsid w:val="00BF109E"/>
    <w:rsid w:val="00C0397B"/>
    <w:rsid w:val="00C376C3"/>
    <w:rsid w:val="00C470A6"/>
    <w:rsid w:val="00C625D6"/>
    <w:rsid w:val="00C64AE9"/>
    <w:rsid w:val="00C65AA1"/>
    <w:rsid w:val="00C744B8"/>
    <w:rsid w:val="00C74F15"/>
    <w:rsid w:val="00C74FF3"/>
    <w:rsid w:val="00CA6EEE"/>
    <w:rsid w:val="00CB2FC1"/>
    <w:rsid w:val="00CB64E9"/>
    <w:rsid w:val="00CD754D"/>
    <w:rsid w:val="00D10D66"/>
    <w:rsid w:val="00D245F7"/>
    <w:rsid w:val="00D761AD"/>
    <w:rsid w:val="00D76845"/>
    <w:rsid w:val="00D86312"/>
    <w:rsid w:val="00DC2D0B"/>
    <w:rsid w:val="00DD07B5"/>
    <w:rsid w:val="00E171B0"/>
    <w:rsid w:val="00E256DE"/>
    <w:rsid w:val="00E3018A"/>
    <w:rsid w:val="00E427A4"/>
    <w:rsid w:val="00E444D2"/>
    <w:rsid w:val="00E65033"/>
    <w:rsid w:val="00E93E69"/>
    <w:rsid w:val="00EB570F"/>
    <w:rsid w:val="00ED0111"/>
    <w:rsid w:val="00ED7C50"/>
    <w:rsid w:val="00EE0F7C"/>
    <w:rsid w:val="00EE51E1"/>
    <w:rsid w:val="00F2699B"/>
    <w:rsid w:val="00F772E4"/>
    <w:rsid w:val="00FA2318"/>
    <w:rsid w:val="00FB0E31"/>
    <w:rsid w:val="00FB254B"/>
    <w:rsid w:val="00FD09CD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16C7EB5"/>
  <w15:docId w15:val="{C1901490-8E4A-4E56-AC79-DA8BDB53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FC1A9F"/>
    <w:pPr>
      <w:pBdr>
        <w:bottom w:val="single" w:sz="6" w:space="1" w:color="auto"/>
      </w:pBdr>
      <w:tabs>
        <w:tab w:val="center" w:pos="4320"/>
        <w:tab w:val="left" w:pos="6640"/>
        <w:tab w:val="right" w:pos="8640"/>
      </w:tabs>
      <w:ind w:left="72" w:hanging="72"/>
      <w:jc w:val="right"/>
    </w:pPr>
    <w:rPr>
      <w:rFonts w:ascii="Helvetica" w:hAnsi="Helvetica"/>
      <w:sz w:val="20"/>
    </w:rPr>
  </w:style>
  <w:style w:type="paragraph" w:styleId="Footer">
    <w:name w:val="footer"/>
    <w:basedOn w:val="Normal"/>
    <w:semiHidden/>
    <w:rsid w:val="008C3B15"/>
    <w:pPr>
      <w:tabs>
        <w:tab w:val="center" w:pos="4320"/>
        <w:tab w:val="right" w:pos="8640"/>
      </w:tabs>
    </w:pPr>
  </w:style>
  <w:style w:type="character" w:styleId="Hyperlink">
    <w:name w:val="Hyperlink"/>
    <w:rsid w:val="008C3B15"/>
    <w:rPr>
      <w:color w:val="0000FF"/>
      <w:u w:val="single"/>
    </w:rPr>
  </w:style>
  <w:style w:type="table" w:styleId="TableGrid">
    <w:name w:val="Table Grid"/>
    <w:basedOn w:val="TableNormal"/>
    <w:rsid w:val="008C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3B99"/>
  </w:style>
  <w:style w:type="paragraph" w:styleId="BalloonText">
    <w:name w:val="Balloon Text"/>
    <w:basedOn w:val="Normal"/>
    <w:link w:val="BalloonTextChar"/>
    <w:uiPriority w:val="99"/>
    <w:semiHidden/>
    <w:unhideWhenUsed/>
    <w:rsid w:val="00076C89"/>
    <w:rPr>
      <w:rFonts w:ascii="Lucida Grande" w:hAnsi="Lucida Grande" w:cs="Lucida Grande"/>
      <w:sz w:val="18"/>
      <w:szCs w:val="18"/>
    </w:rPr>
  </w:style>
  <w:style w:type="paragraph" w:customStyle="1" w:styleId="NSBAHeadline">
    <w:name w:val="NSBA Headline"/>
    <w:basedOn w:val="Normal"/>
    <w:qFormat/>
    <w:rsid w:val="001533FC"/>
    <w:rPr>
      <w:rFonts w:ascii="Gill Sans MT" w:hAnsi="Gill Sans MT"/>
      <w:b/>
      <w:color w:val="000080"/>
      <w:sz w:val="32"/>
      <w:szCs w:val="32"/>
    </w:rPr>
  </w:style>
  <w:style w:type="paragraph" w:customStyle="1" w:styleId="NSBABodyCopy">
    <w:name w:val="NSBA Body Copy"/>
    <w:basedOn w:val="Normal"/>
    <w:qFormat/>
    <w:rsid w:val="001533FC"/>
    <w:rPr>
      <w:rFonts w:ascii="Goudy Old Style" w:hAnsi="Goudy Old Style"/>
      <w:sz w:val="22"/>
      <w:szCs w:val="22"/>
    </w:rPr>
  </w:style>
  <w:style w:type="paragraph" w:customStyle="1" w:styleId="NSBASubheadBlack">
    <w:name w:val="NSBA Subhead Black"/>
    <w:basedOn w:val="Normal"/>
    <w:qFormat/>
    <w:rsid w:val="004634B7"/>
    <w:rPr>
      <w:rFonts w:ascii="Gill Sans" w:hAnsi="Gill Sans" w:cs="Gill Sans"/>
      <w:b/>
    </w:rPr>
  </w:style>
  <w:style w:type="paragraph" w:customStyle="1" w:styleId="NSBASubheadRed">
    <w:name w:val="NSBA Subhead Red"/>
    <w:basedOn w:val="NSBASubheadBlack"/>
    <w:qFormat/>
    <w:rsid w:val="004634B7"/>
    <w:rPr>
      <w:color w:val="C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8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E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week.org/ew/articles/2015/06/04/graduation-rate-hits-high-but-some-group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week.org/media/graduation-rate-pdf-download-education-week-diplomas-coun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enterforpubliceducation.org/Main-Menu/Staffingstudents/Better-late-than-never-At-a-gl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centerforpubliceducation.org/2015/05/12/high-school-graduation-rates-hit-another-all-time-high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SBA_PPT_Templat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etwor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23" charset="0"/>
            <a:ea typeface="ヒラギノ角ゴ Pro W3" pitchFamily="-123" charset="-128"/>
            <a:cs typeface="ヒラギノ角ゴ Pro W3" pitchFamily="-123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23" charset="0"/>
            <a:ea typeface="ヒラギノ角ゴ Pro W3" pitchFamily="-123" charset="-128"/>
            <a:cs typeface="ヒラギノ角ゴ Pro W3" pitchFamily="-123" charset="-128"/>
          </a:defRPr>
        </a:defPPr>
      </a:lstStyle>
    </a:lnDef>
  </a:objectDefaults>
  <a:extraClrSchemeLst>
    <a:extraClrScheme>
      <a:clrScheme name="Network 1">
        <a:dk1>
          <a:srgbClr val="4F747B"/>
        </a:dk1>
        <a:lt1>
          <a:srgbClr val="FFFFFF"/>
        </a:lt1>
        <a:dk2>
          <a:srgbClr val="000000"/>
        </a:dk2>
        <a:lt2>
          <a:srgbClr val="C0C0C0"/>
        </a:lt2>
        <a:accent1>
          <a:srgbClr val="859868"/>
        </a:accent1>
        <a:accent2>
          <a:srgbClr val="5F5F5F"/>
        </a:accent2>
        <a:accent3>
          <a:srgbClr val="AAAAAA"/>
        </a:accent3>
        <a:accent4>
          <a:srgbClr val="DADADA"/>
        </a:accent4>
        <a:accent5>
          <a:srgbClr val="C2CAB9"/>
        </a:accent5>
        <a:accent6>
          <a:srgbClr val="555555"/>
        </a:accent6>
        <a:hlink>
          <a:srgbClr val="5F5F5F"/>
        </a:hlink>
        <a:folHlink>
          <a:srgbClr val="BA1212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etwork 2">
        <a:dk1>
          <a:srgbClr val="3C0000"/>
        </a:dk1>
        <a:lt1>
          <a:srgbClr val="FFFFFF"/>
        </a:lt1>
        <a:dk2>
          <a:srgbClr val="4D0B0B"/>
        </a:dk2>
        <a:lt2>
          <a:srgbClr val="FFFFFF"/>
        </a:lt2>
        <a:accent1>
          <a:srgbClr val="666633"/>
        </a:accent1>
        <a:accent2>
          <a:srgbClr val="CC3300"/>
        </a:accent2>
        <a:accent3>
          <a:srgbClr val="B2AAAA"/>
        </a:accent3>
        <a:accent4>
          <a:srgbClr val="DADADA"/>
        </a:accent4>
        <a:accent5>
          <a:srgbClr val="B8B8AD"/>
        </a:accent5>
        <a:accent6>
          <a:srgbClr val="B92D00"/>
        </a:accent6>
        <a:hlink>
          <a:srgbClr val="CC9900"/>
        </a:hlink>
        <a:folHlink>
          <a:srgbClr val="CCCC33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etwork 3">
        <a:dk1>
          <a:srgbClr val="666699"/>
        </a:dk1>
        <a:lt1>
          <a:srgbClr val="FFFFFF"/>
        </a:lt1>
        <a:dk2>
          <a:srgbClr val="15192B"/>
        </a:dk2>
        <a:lt2>
          <a:srgbClr val="CCCCFF"/>
        </a:lt2>
        <a:accent1>
          <a:srgbClr val="4F893D"/>
        </a:accent1>
        <a:accent2>
          <a:srgbClr val="666699"/>
        </a:accent2>
        <a:accent3>
          <a:srgbClr val="AAABAC"/>
        </a:accent3>
        <a:accent4>
          <a:srgbClr val="DADADA"/>
        </a:accent4>
        <a:accent5>
          <a:srgbClr val="B2C4AF"/>
        </a:accent5>
        <a:accent6>
          <a:srgbClr val="5C5C8A"/>
        </a:accent6>
        <a:hlink>
          <a:srgbClr val="CC9900"/>
        </a:hlink>
        <a:folHlink>
          <a:srgbClr val="4837C7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etwork 4">
        <a:dk1>
          <a:srgbClr val="666699"/>
        </a:dk1>
        <a:lt1>
          <a:srgbClr val="FFFFFF"/>
        </a:lt1>
        <a:dk2>
          <a:srgbClr val="86001A"/>
        </a:dk2>
        <a:lt2>
          <a:srgbClr val="CCCC66"/>
        </a:lt2>
        <a:accent1>
          <a:srgbClr val="FF3300"/>
        </a:accent1>
        <a:accent2>
          <a:srgbClr val="FF6600"/>
        </a:accent2>
        <a:accent3>
          <a:srgbClr val="C3AAAB"/>
        </a:accent3>
        <a:accent4>
          <a:srgbClr val="DADADA"/>
        </a:accent4>
        <a:accent5>
          <a:srgbClr val="FFADAA"/>
        </a:accent5>
        <a:accent6>
          <a:srgbClr val="E75C00"/>
        </a:accent6>
        <a:hlink>
          <a:srgbClr val="CC9900"/>
        </a:hlink>
        <a:folHlink>
          <a:srgbClr val="FF00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etwork 5">
        <a:dk1>
          <a:srgbClr val="666699"/>
        </a:dk1>
        <a:lt1>
          <a:srgbClr val="FFFFFF"/>
        </a:lt1>
        <a:dk2>
          <a:srgbClr val="000054"/>
        </a:dk2>
        <a:lt2>
          <a:srgbClr val="FFFFFF"/>
        </a:lt2>
        <a:accent1>
          <a:srgbClr val="3333FF"/>
        </a:accent1>
        <a:accent2>
          <a:srgbClr val="006699"/>
        </a:accent2>
        <a:accent3>
          <a:srgbClr val="AAAAB3"/>
        </a:accent3>
        <a:accent4>
          <a:srgbClr val="DADADA"/>
        </a:accent4>
        <a:accent5>
          <a:srgbClr val="ADADFF"/>
        </a:accent5>
        <a:accent6>
          <a:srgbClr val="005C8A"/>
        </a:accent6>
        <a:hlink>
          <a:srgbClr val="669900"/>
        </a:hlink>
        <a:folHlink>
          <a:srgbClr val="0000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etwork 6">
        <a:dk1>
          <a:srgbClr val="808080"/>
        </a:dk1>
        <a:lt1>
          <a:srgbClr val="FFFFFF"/>
        </a:lt1>
        <a:dk2>
          <a:srgbClr val="30054B"/>
        </a:dk2>
        <a:lt2>
          <a:srgbClr val="FFFFFF"/>
        </a:lt2>
        <a:accent1>
          <a:srgbClr val="797B9B"/>
        </a:accent1>
        <a:accent2>
          <a:srgbClr val="6B4FB1"/>
        </a:accent2>
        <a:accent3>
          <a:srgbClr val="ADAAB1"/>
        </a:accent3>
        <a:accent4>
          <a:srgbClr val="DADADA"/>
        </a:accent4>
        <a:accent5>
          <a:srgbClr val="BEBFCB"/>
        </a:accent5>
        <a:accent6>
          <a:srgbClr val="6047A0"/>
        </a:accent6>
        <a:hlink>
          <a:srgbClr val="7AACCE"/>
        </a:hlink>
        <a:folHlink>
          <a:srgbClr val="D8D8EC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etwork 7">
        <a:dk1>
          <a:srgbClr val="808080"/>
        </a:dk1>
        <a:lt1>
          <a:srgbClr val="FFFFCC"/>
        </a:lt1>
        <a:dk2>
          <a:srgbClr val="29527B"/>
        </a:dk2>
        <a:lt2>
          <a:srgbClr val="FFFFFF"/>
        </a:lt2>
        <a:accent1>
          <a:srgbClr val="CCCC00"/>
        </a:accent1>
        <a:accent2>
          <a:srgbClr val="669999"/>
        </a:accent2>
        <a:accent3>
          <a:srgbClr val="ACB3BF"/>
        </a:accent3>
        <a:accent4>
          <a:srgbClr val="DADAAE"/>
        </a:accent4>
        <a:accent5>
          <a:srgbClr val="E2E2AA"/>
        </a:accent5>
        <a:accent6>
          <a:srgbClr val="5C8A8A"/>
        </a:accent6>
        <a:hlink>
          <a:srgbClr val="D8D8EC"/>
        </a:hlink>
        <a:folHlink>
          <a:srgbClr val="B2B2B2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etwork 8">
        <a:dk1>
          <a:srgbClr val="666699"/>
        </a:dk1>
        <a:lt1>
          <a:srgbClr val="FFFFFF"/>
        </a:lt1>
        <a:dk2>
          <a:srgbClr val="476949"/>
        </a:dk2>
        <a:lt2>
          <a:srgbClr val="FFFFFF"/>
        </a:lt2>
        <a:accent1>
          <a:srgbClr val="CC6600"/>
        </a:accent1>
        <a:accent2>
          <a:srgbClr val="CC9900"/>
        </a:accent2>
        <a:accent3>
          <a:srgbClr val="B1B9B1"/>
        </a:accent3>
        <a:accent4>
          <a:srgbClr val="DADADA"/>
        </a:accent4>
        <a:accent5>
          <a:srgbClr val="E2B8AA"/>
        </a:accent5>
        <a:accent6>
          <a:srgbClr val="B98A00"/>
        </a:accent6>
        <a:hlink>
          <a:srgbClr val="669900"/>
        </a:hlink>
        <a:folHlink>
          <a:srgbClr val="A452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etwork 9">
        <a:dk1>
          <a:srgbClr val="000000"/>
        </a:dk1>
        <a:lt1>
          <a:srgbClr val="FFFFFF"/>
        </a:lt1>
        <a:dk2>
          <a:srgbClr val="7C1302"/>
        </a:dk2>
        <a:lt2>
          <a:srgbClr val="CC9900"/>
        </a:lt2>
        <a:accent1>
          <a:srgbClr val="CC9900"/>
        </a:accent1>
        <a:accent2>
          <a:srgbClr val="CC3300"/>
        </a:accent2>
        <a:accent3>
          <a:srgbClr val="FFFFFF"/>
        </a:accent3>
        <a:accent4>
          <a:srgbClr val="000000"/>
        </a:accent4>
        <a:accent5>
          <a:srgbClr val="E2CAAA"/>
        </a:accent5>
        <a:accent6>
          <a:srgbClr val="B92D00"/>
        </a:accent6>
        <a:hlink>
          <a:srgbClr val="808080"/>
        </a:hlink>
        <a:folHlink>
          <a:srgbClr val="CC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etwork 10">
        <a:dk1>
          <a:srgbClr val="000000"/>
        </a:dk1>
        <a:lt1>
          <a:srgbClr val="FFFFFF"/>
        </a:lt1>
        <a:dk2>
          <a:srgbClr val="330066"/>
        </a:dk2>
        <a:lt2>
          <a:srgbClr val="808080"/>
        </a:lt2>
        <a:accent1>
          <a:srgbClr val="CCCC00"/>
        </a:accent1>
        <a:accent2>
          <a:srgbClr val="669999"/>
        </a:accent2>
        <a:accent3>
          <a:srgbClr val="FFFFFF"/>
        </a:accent3>
        <a:accent4>
          <a:srgbClr val="000000"/>
        </a:accent4>
        <a:accent5>
          <a:srgbClr val="E2E2AA"/>
        </a:accent5>
        <a:accent6>
          <a:srgbClr val="5C8A8A"/>
        </a:accent6>
        <a:hlink>
          <a:srgbClr val="7E9CE8"/>
        </a:hlink>
        <a:folHlink>
          <a:srgbClr val="D8D8E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251B12-2540-49C8-9939-08117A89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</vt:lpstr>
    </vt:vector>
  </TitlesOfParts>
  <Company/>
  <LinksUpToDate>false</LinksUpToDate>
  <CharactersWithSpaces>6030</CharactersWithSpaces>
  <SharedDoc>false</SharedDoc>
  <HLinks>
    <vt:vector size="6" baseType="variant">
      <vt:variant>
        <vt:i4>4849753</vt:i4>
      </vt:variant>
      <vt:variant>
        <vt:i4>2618</vt:i4>
      </vt:variant>
      <vt:variant>
        <vt:i4>1025</vt:i4>
      </vt:variant>
      <vt:variant>
        <vt:i4>1</vt:i4>
      </vt:variant>
      <vt:variant>
        <vt:lpwstr>NSBA_Masthead_Rule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Here</dc:title>
  <dc:subject/>
  <dc:creator>Carrie Carroll</dc:creator>
  <cp:keywords/>
  <cp:lastModifiedBy>Jim Hull</cp:lastModifiedBy>
  <cp:revision>3</cp:revision>
  <cp:lastPrinted>2013-05-31T20:07:00Z</cp:lastPrinted>
  <dcterms:created xsi:type="dcterms:W3CDTF">2015-06-04T18:45:00Z</dcterms:created>
  <dcterms:modified xsi:type="dcterms:W3CDTF">2015-06-04T18:54:00Z</dcterms:modified>
</cp:coreProperties>
</file>