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944" w:rsidRPr="00C66167" w:rsidRDefault="00FA4944" w:rsidP="00FA4944">
      <w:pPr>
        <w:spacing w:after="0" w:line="240" w:lineRule="auto"/>
        <w:rPr>
          <w:rFonts w:ascii="Times New Roman" w:eastAsia="Times New Roman" w:hAnsi="Times New Roman" w:cs="Times New Roman"/>
          <w:sz w:val="24"/>
          <w:szCs w:val="24"/>
        </w:rPr>
      </w:pPr>
      <w:r w:rsidRPr="00C66167">
        <w:rPr>
          <w:rFonts w:ascii="Times New Roman" w:eastAsia="Times New Roman" w:hAnsi="Times New Roman" w:cs="Times New Roman"/>
          <w:noProof/>
          <w:sz w:val="24"/>
          <w:szCs w:val="24"/>
        </w:rPr>
        <w:drawing>
          <wp:inline distT="0" distB="0" distL="0" distR="0">
            <wp:extent cx="5922645" cy="648335"/>
            <wp:effectExtent l="0" t="0" r="1905" b="0"/>
            <wp:docPr id="2" name="Picture 2" descr="Sniffen&amp;Spellman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iffen&amp;Spellman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2645" cy="648335"/>
                    </a:xfrm>
                    <a:prstGeom prst="rect">
                      <a:avLst/>
                    </a:prstGeom>
                    <a:noFill/>
                    <a:ln>
                      <a:noFill/>
                    </a:ln>
                  </pic:spPr>
                </pic:pic>
              </a:graphicData>
            </a:graphic>
          </wp:inline>
        </w:drawing>
      </w:r>
    </w:p>
    <w:p w:rsidR="00FA4944" w:rsidRPr="00C66167" w:rsidRDefault="00FA4944" w:rsidP="00FA4944">
      <w:pPr>
        <w:shd w:val="clear" w:color="auto" w:fill="FFFFFF"/>
        <w:spacing w:after="150" w:line="240" w:lineRule="auto"/>
        <w:rPr>
          <w:rFonts w:ascii="Times New Roman" w:eastAsia="Times New Roman" w:hAnsi="Times New Roman" w:cs="Times New Roman"/>
          <w:b/>
          <w:color w:val="000000"/>
          <w:sz w:val="24"/>
          <w:szCs w:val="24"/>
        </w:rPr>
      </w:pPr>
    </w:p>
    <w:p w:rsidR="00FA4944" w:rsidRPr="00C66167" w:rsidRDefault="00FA4944" w:rsidP="00FA4944">
      <w:pPr>
        <w:shd w:val="clear" w:color="auto" w:fill="FFFFFF"/>
        <w:spacing w:after="0" w:line="240" w:lineRule="auto"/>
        <w:jc w:val="center"/>
        <w:rPr>
          <w:rFonts w:ascii="Times New Roman" w:eastAsia="Times New Roman" w:hAnsi="Times New Roman" w:cs="Times New Roman"/>
          <w:b/>
          <w:color w:val="000000"/>
          <w:sz w:val="24"/>
          <w:szCs w:val="24"/>
        </w:rPr>
      </w:pPr>
      <w:r w:rsidRPr="00C66167">
        <w:rPr>
          <w:rFonts w:ascii="Times New Roman" w:eastAsia="Times New Roman" w:hAnsi="Times New Roman" w:cs="Times New Roman"/>
          <w:b/>
          <w:color w:val="000000"/>
          <w:sz w:val="24"/>
          <w:szCs w:val="24"/>
        </w:rPr>
        <w:t>LABOR AND EMPLOYMENT LAW SPECIAL ALERT</w:t>
      </w:r>
      <w:r w:rsidR="00C858D0">
        <w:rPr>
          <w:rFonts w:ascii="Times New Roman" w:eastAsia="Times New Roman" w:hAnsi="Times New Roman" w:cs="Times New Roman"/>
          <w:b/>
          <w:color w:val="000000"/>
          <w:sz w:val="24"/>
          <w:szCs w:val="24"/>
        </w:rPr>
        <w:t xml:space="preserve"> #3</w:t>
      </w:r>
    </w:p>
    <w:p w:rsidR="00FA4944" w:rsidRPr="00C66167" w:rsidRDefault="00FA4944" w:rsidP="00FA4944">
      <w:pPr>
        <w:shd w:val="clear" w:color="auto" w:fill="FFFFFF"/>
        <w:spacing w:after="0" w:line="240" w:lineRule="auto"/>
        <w:jc w:val="center"/>
        <w:rPr>
          <w:rFonts w:ascii="Times New Roman" w:eastAsia="Times New Roman" w:hAnsi="Times New Roman" w:cs="Times New Roman"/>
          <w:b/>
          <w:color w:val="000000"/>
          <w:sz w:val="24"/>
          <w:szCs w:val="24"/>
        </w:rPr>
      </w:pPr>
      <w:r w:rsidRPr="00C66167">
        <w:rPr>
          <w:rFonts w:ascii="Times New Roman" w:eastAsia="Times New Roman" w:hAnsi="Times New Roman" w:cs="Times New Roman"/>
          <w:b/>
          <w:color w:val="000000"/>
          <w:sz w:val="24"/>
          <w:szCs w:val="24"/>
        </w:rPr>
        <w:t>March 2</w:t>
      </w:r>
      <w:r w:rsidR="00434BF9">
        <w:rPr>
          <w:rFonts w:ascii="Times New Roman" w:eastAsia="Times New Roman" w:hAnsi="Times New Roman" w:cs="Times New Roman"/>
          <w:b/>
          <w:color w:val="000000"/>
          <w:sz w:val="24"/>
          <w:szCs w:val="24"/>
        </w:rPr>
        <w:t>6</w:t>
      </w:r>
      <w:r w:rsidRPr="00C66167">
        <w:rPr>
          <w:rFonts w:ascii="Times New Roman" w:eastAsia="Times New Roman" w:hAnsi="Times New Roman" w:cs="Times New Roman"/>
          <w:b/>
          <w:color w:val="000000"/>
          <w:sz w:val="24"/>
          <w:szCs w:val="24"/>
        </w:rPr>
        <w:t>, 2020</w:t>
      </w:r>
    </w:p>
    <w:p w:rsidR="00FA4944" w:rsidRPr="00C66167" w:rsidRDefault="00FA4944" w:rsidP="00FA4944">
      <w:pPr>
        <w:shd w:val="clear" w:color="auto" w:fill="FFFFFF"/>
        <w:spacing w:after="0" w:line="240" w:lineRule="auto"/>
        <w:jc w:val="center"/>
        <w:rPr>
          <w:rFonts w:ascii="Times New Roman" w:eastAsia="Times New Roman" w:hAnsi="Times New Roman" w:cs="Times New Roman"/>
          <w:b/>
          <w:color w:val="000000"/>
          <w:sz w:val="24"/>
          <w:szCs w:val="24"/>
        </w:rPr>
      </w:pPr>
    </w:p>
    <w:p w:rsidR="00FA4944" w:rsidRPr="00C66167" w:rsidRDefault="00FA4944" w:rsidP="00FA4944">
      <w:pPr>
        <w:shd w:val="clear" w:color="auto" w:fill="FFFFFF"/>
        <w:spacing w:before="150" w:after="150" w:line="300" w:lineRule="atLeast"/>
        <w:jc w:val="center"/>
        <w:rPr>
          <w:rFonts w:ascii="Times New Roman" w:eastAsia="Times New Roman" w:hAnsi="Times New Roman" w:cs="Times New Roman"/>
          <w:b/>
          <w:color w:val="000000"/>
          <w:sz w:val="24"/>
          <w:szCs w:val="24"/>
          <w:u w:val="single"/>
        </w:rPr>
      </w:pPr>
      <w:r w:rsidRPr="00C66167">
        <w:rPr>
          <w:rFonts w:ascii="Times New Roman" w:eastAsia="Times New Roman" w:hAnsi="Times New Roman" w:cs="Times New Roman"/>
          <w:b/>
          <w:color w:val="000000"/>
          <w:sz w:val="24"/>
          <w:szCs w:val="24"/>
          <w:u w:val="single"/>
        </w:rPr>
        <w:t>Special Alert on Coronavirus in the Workplace</w:t>
      </w:r>
    </w:p>
    <w:p w:rsidR="00A51306" w:rsidRPr="00A51306" w:rsidRDefault="00A51306" w:rsidP="00A51306">
      <w:pPr>
        <w:shd w:val="clear" w:color="auto" w:fill="FFFFFF"/>
        <w:tabs>
          <w:tab w:val="center" w:pos="4680"/>
          <w:tab w:val="left" w:pos="7880"/>
        </w:tabs>
        <w:spacing w:before="150" w:after="150" w:line="300" w:lineRule="atLeast"/>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ab/>
        <w:t xml:space="preserve">We realize the amount of information that is being shared on Federal, State and Local government efforts to address the COVID-19 pandemic can be overwhelming. Accordingly, our Firm has made the decision to aggregate and forward information to clients on a periodic basis rather than daily. We believe proceeding in this manner will reduce confusion, the dissemination of inaccurate or premature reporting on the pandemic and “information overload.” </w:t>
      </w:r>
    </w:p>
    <w:p w:rsidR="00A51306" w:rsidRDefault="00A51306" w:rsidP="00FA4944">
      <w:pPr>
        <w:shd w:val="clear" w:color="auto" w:fill="FFFFFF"/>
        <w:tabs>
          <w:tab w:val="center" w:pos="4680"/>
          <w:tab w:val="left" w:pos="7880"/>
        </w:tabs>
        <w:spacing w:before="150" w:after="150" w:line="300" w:lineRule="atLeast"/>
        <w:rPr>
          <w:rFonts w:ascii="Times New Roman" w:eastAsia="Times New Roman" w:hAnsi="Times New Roman" w:cs="Times New Roman"/>
          <w:b/>
          <w:bCs/>
          <w:i/>
          <w:iCs/>
          <w:color w:val="000000"/>
          <w:sz w:val="24"/>
          <w:szCs w:val="24"/>
        </w:rPr>
      </w:pPr>
    </w:p>
    <w:p w:rsidR="00A51306" w:rsidRDefault="00A51306" w:rsidP="00A51306">
      <w:pPr>
        <w:shd w:val="clear" w:color="auto" w:fill="FFFFFF"/>
        <w:tabs>
          <w:tab w:val="center" w:pos="4680"/>
          <w:tab w:val="left" w:pos="7880"/>
        </w:tabs>
        <w:spacing w:before="150" w:after="150" w:line="300" w:lineRule="atLeast"/>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1.</w:t>
      </w:r>
      <w:r>
        <w:rPr>
          <w:rFonts w:ascii="Times New Roman" w:eastAsia="Times New Roman" w:hAnsi="Times New Roman" w:cs="Times New Roman"/>
          <w:b/>
          <w:bCs/>
          <w:iCs/>
          <w:color w:val="000000"/>
          <w:sz w:val="24"/>
          <w:szCs w:val="24"/>
        </w:rPr>
        <w:tab/>
        <w:t>United States Department of Labor Issues Key Guidance – March 24, 2020</w:t>
      </w:r>
    </w:p>
    <w:p w:rsidR="00A51306" w:rsidRPr="00A51306" w:rsidRDefault="00A51306" w:rsidP="00A51306">
      <w:pPr>
        <w:pStyle w:val="NoSpacing"/>
        <w:jc w:val="both"/>
        <w:rPr>
          <w:rFonts w:ascii="Times New Roman" w:hAnsi="Times New Roman"/>
          <w:sz w:val="24"/>
          <w:szCs w:val="24"/>
        </w:rPr>
      </w:pPr>
      <w:r>
        <w:rPr>
          <w:rFonts w:ascii="Times New Roman" w:hAnsi="Times New Roman"/>
          <w:sz w:val="24"/>
          <w:szCs w:val="24"/>
        </w:rPr>
        <w:t xml:space="preserve">The </w:t>
      </w:r>
      <w:r w:rsidRPr="00A51306">
        <w:rPr>
          <w:rFonts w:ascii="Times New Roman" w:hAnsi="Times New Roman"/>
          <w:sz w:val="24"/>
          <w:szCs w:val="24"/>
        </w:rPr>
        <w:t xml:space="preserve">Wage and Hour Division (WHD) </w:t>
      </w:r>
      <w:r>
        <w:rPr>
          <w:rFonts w:ascii="Times New Roman" w:hAnsi="Times New Roman"/>
          <w:sz w:val="24"/>
          <w:szCs w:val="24"/>
        </w:rPr>
        <w:t xml:space="preserve">of the U.S. Department of Labor has </w:t>
      </w:r>
      <w:r w:rsidRPr="00A51306">
        <w:rPr>
          <w:rFonts w:ascii="Times New Roman" w:hAnsi="Times New Roman"/>
          <w:sz w:val="24"/>
          <w:szCs w:val="24"/>
        </w:rPr>
        <w:t xml:space="preserve">announced its first round of published guidance to provide information to employees and employers about how each will be able to take advantage of the protections and relief offered by the Families First Coronavirus Response Act (FFCRA) when it takes effect on April 1, 2020. </w:t>
      </w:r>
    </w:p>
    <w:p w:rsidR="00A51306" w:rsidRPr="00A51306" w:rsidRDefault="00A51306" w:rsidP="00A51306">
      <w:pPr>
        <w:pStyle w:val="NoSpacing"/>
        <w:jc w:val="both"/>
        <w:rPr>
          <w:rFonts w:ascii="Times New Roman" w:hAnsi="Times New Roman"/>
          <w:sz w:val="24"/>
          <w:szCs w:val="24"/>
        </w:rPr>
      </w:pPr>
    </w:p>
    <w:p w:rsidR="00A51306" w:rsidRDefault="00A51306" w:rsidP="00A51306">
      <w:pPr>
        <w:pStyle w:val="NoSpacing"/>
        <w:jc w:val="both"/>
        <w:rPr>
          <w:rFonts w:ascii="Times New Roman" w:hAnsi="Times New Roman"/>
          <w:color w:val="212121"/>
          <w:sz w:val="24"/>
          <w:szCs w:val="24"/>
        </w:rPr>
      </w:pPr>
      <w:r w:rsidRPr="00A51306">
        <w:rPr>
          <w:rFonts w:ascii="Times New Roman" w:hAnsi="Times New Roman"/>
          <w:color w:val="212121"/>
          <w:sz w:val="24"/>
          <w:szCs w:val="24"/>
        </w:rPr>
        <w:t xml:space="preserve">The guidance – provided in a </w:t>
      </w:r>
      <w:hyperlink r:id="rId7" w:history="1">
        <w:r w:rsidRPr="00A51306">
          <w:rPr>
            <w:rStyle w:val="Hyperlink"/>
            <w:rFonts w:ascii="Times New Roman" w:hAnsi="Times New Roman"/>
          </w:rPr>
          <w:t>Fact Sheet for Employees</w:t>
        </w:r>
      </w:hyperlink>
      <w:r w:rsidRPr="00A51306">
        <w:rPr>
          <w:rFonts w:ascii="Times New Roman" w:hAnsi="Times New Roman"/>
          <w:color w:val="212121"/>
          <w:sz w:val="24"/>
          <w:szCs w:val="24"/>
        </w:rPr>
        <w:t xml:space="preserve">, a </w:t>
      </w:r>
      <w:hyperlink r:id="rId8" w:history="1">
        <w:r w:rsidRPr="00A51306">
          <w:rPr>
            <w:rStyle w:val="Hyperlink"/>
            <w:rFonts w:ascii="Times New Roman" w:hAnsi="Times New Roman"/>
          </w:rPr>
          <w:t>Fact Sheet for Employers</w:t>
        </w:r>
      </w:hyperlink>
      <w:r w:rsidRPr="00A51306">
        <w:rPr>
          <w:rFonts w:ascii="Times New Roman" w:hAnsi="Times New Roman"/>
          <w:color w:val="212121"/>
          <w:sz w:val="24"/>
          <w:szCs w:val="24"/>
        </w:rPr>
        <w:t xml:space="preserve"> and a </w:t>
      </w:r>
      <w:hyperlink r:id="rId9" w:history="1">
        <w:r w:rsidRPr="00A51306">
          <w:rPr>
            <w:rStyle w:val="Hyperlink"/>
            <w:rFonts w:ascii="Times New Roman" w:hAnsi="Times New Roman"/>
          </w:rPr>
          <w:t>Questions and Answers</w:t>
        </w:r>
      </w:hyperlink>
      <w:r w:rsidRPr="00A51306">
        <w:rPr>
          <w:rFonts w:ascii="Times New Roman" w:hAnsi="Times New Roman"/>
          <w:color w:val="212121"/>
          <w:sz w:val="24"/>
          <w:szCs w:val="24"/>
        </w:rPr>
        <w:t xml:space="preserve"> document – addresses critical questions, such as how an employer must count the number of their employees to determine coverage; how small businesses can obtain an exemption; how to count hours for part-time employees; and how to calculate the wages employees are entitled to under this law.</w:t>
      </w:r>
    </w:p>
    <w:p w:rsidR="00667F94" w:rsidRDefault="00667F94" w:rsidP="00A51306">
      <w:pPr>
        <w:pStyle w:val="NoSpacing"/>
        <w:jc w:val="both"/>
        <w:rPr>
          <w:rFonts w:ascii="Times New Roman" w:hAnsi="Times New Roman"/>
          <w:color w:val="212121"/>
          <w:sz w:val="24"/>
          <w:szCs w:val="24"/>
        </w:rPr>
      </w:pPr>
    </w:p>
    <w:p w:rsidR="00E00C71" w:rsidRDefault="00C858D0" w:rsidP="00C858D0">
      <w:pPr>
        <w:pStyle w:val="NoSpacing"/>
        <w:jc w:val="both"/>
        <w:rPr>
          <w:rFonts w:ascii="Times New Roman" w:hAnsi="Times New Roman"/>
          <w:color w:val="212121"/>
          <w:sz w:val="24"/>
          <w:szCs w:val="24"/>
        </w:rPr>
      </w:pPr>
      <w:r>
        <w:rPr>
          <w:rFonts w:ascii="Times New Roman" w:hAnsi="Times New Roman"/>
          <w:color w:val="212121"/>
          <w:sz w:val="24"/>
          <w:szCs w:val="24"/>
        </w:rPr>
        <w:t>WHD has published t</w:t>
      </w:r>
      <w:r w:rsidR="00E00C71">
        <w:rPr>
          <w:rFonts w:ascii="Times New Roman" w:hAnsi="Times New Roman"/>
          <w:color w:val="212121"/>
          <w:sz w:val="24"/>
          <w:szCs w:val="24"/>
        </w:rPr>
        <w:t xml:space="preserve">he workplace </w:t>
      </w:r>
      <w:hyperlink r:id="rId10" w:history="1">
        <w:r w:rsidR="00E00C71" w:rsidRPr="00C858D0">
          <w:rPr>
            <w:rStyle w:val="Hyperlink"/>
            <w:rFonts w:ascii="Times New Roman" w:hAnsi="Times New Roman"/>
            <w:sz w:val="24"/>
            <w:szCs w:val="24"/>
          </w:rPr>
          <w:t>pos</w:t>
        </w:r>
        <w:r w:rsidRPr="00C858D0">
          <w:rPr>
            <w:rStyle w:val="Hyperlink"/>
            <w:rFonts w:ascii="Times New Roman" w:hAnsi="Times New Roman"/>
            <w:sz w:val="24"/>
            <w:szCs w:val="24"/>
          </w:rPr>
          <w:t>ter</w:t>
        </w:r>
      </w:hyperlink>
      <w:r>
        <w:rPr>
          <w:rFonts w:ascii="Times New Roman" w:hAnsi="Times New Roman"/>
          <w:color w:val="212121"/>
          <w:sz w:val="24"/>
          <w:szCs w:val="24"/>
        </w:rPr>
        <w:t xml:space="preserve"> required for most employer</w:t>
      </w:r>
      <w:r w:rsidR="00450D7C">
        <w:rPr>
          <w:rFonts w:ascii="Times New Roman" w:hAnsi="Times New Roman"/>
          <w:color w:val="212121"/>
          <w:sz w:val="24"/>
          <w:szCs w:val="24"/>
        </w:rPr>
        <w:t>s</w:t>
      </w:r>
      <w:bookmarkStart w:id="0" w:name="_GoBack"/>
      <w:bookmarkEnd w:id="0"/>
      <w:r>
        <w:rPr>
          <w:rFonts w:ascii="Times New Roman" w:hAnsi="Times New Roman"/>
          <w:color w:val="212121"/>
          <w:sz w:val="24"/>
          <w:szCs w:val="24"/>
        </w:rPr>
        <w:t>, which should be posted in the workplace as required by the FFCRA. Additional information will be provided by the WHD within the coming weeks.</w:t>
      </w:r>
    </w:p>
    <w:p w:rsidR="00E00C71" w:rsidRDefault="00E00C71" w:rsidP="00E00C71">
      <w:pPr>
        <w:pStyle w:val="NoSpacing"/>
        <w:rPr>
          <w:rFonts w:ascii="Times New Roman" w:hAnsi="Times New Roman"/>
          <w:color w:val="212121"/>
          <w:sz w:val="24"/>
          <w:szCs w:val="24"/>
        </w:rPr>
      </w:pPr>
    </w:p>
    <w:p w:rsidR="00E00C71" w:rsidRPr="00E00C71" w:rsidRDefault="00E00C71" w:rsidP="00E00C71">
      <w:pPr>
        <w:pStyle w:val="NoSpacing"/>
        <w:ind w:left="720" w:hanging="720"/>
        <w:rPr>
          <w:rFonts w:ascii="Times New Roman" w:hAnsi="Times New Roman"/>
          <w:b/>
          <w:color w:val="212121"/>
          <w:sz w:val="24"/>
          <w:szCs w:val="24"/>
          <w:shd w:val="clear" w:color="auto" w:fill="FFFFFF"/>
        </w:rPr>
      </w:pPr>
      <w:r w:rsidRPr="00E00C71">
        <w:rPr>
          <w:rFonts w:ascii="Times New Roman" w:hAnsi="Times New Roman"/>
          <w:b/>
          <w:color w:val="212121"/>
          <w:sz w:val="24"/>
          <w:szCs w:val="24"/>
          <w:shd w:val="clear" w:color="auto" w:fill="FFFFFF"/>
        </w:rPr>
        <w:t>2.</w:t>
      </w:r>
      <w:r w:rsidRPr="00E00C71">
        <w:rPr>
          <w:rFonts w:ascii="Times New Roman" w:hAnsi="Times New Roman"/>
          <w:b/>
          <w:color w:val="212121"/>
          <w:sz w:val="24"/>
          <w:szCs w:val="24"/>
          <w:shd w:val="clear" w:color="auto" w:fill="FFFFFF"/>
        </w:rPr>
        <w:tab/>
        <w:t>United States Department of Labor Provides Information on Impact on Existing Laws</w:t>
      </w:r>
    </w:p>
    <w:p w:rsidR="00E00C71" w:rsidRDefault="00E00C71" w:rsidP="00E00C71">
      <w:pPr>
        <w:pStyle w:val="NoSpacing"/>
        <w:rPr>
          <w:rFonts w:ascii="Times New Roman" w:hAnsi="Times New Roman"/>
          <w:color w:val="212121"/>
          <w:sz w:val="24"/>
          <w:szCs w:val="24"/>
          <w:shd w:val="clear" w:color="auto" w:fill="FFFFFF"/>
        </w:rPr>
      </w:pPr>
    </w:p>
    <w:p w:rsidR="00E00C71" w:rsidRDefault="00526AE8" w:rsidP="00526AE8">
      <w:pPr>
        <w:pStyle w:val="NoSpacing"/>
        <w:jc w:val="both"/>
        <w:rPr>
          <w:rFonts w:ascii="Times New Roman" w:hAnsi="Times New Roman"/>
          <w:sz w:val="24"/>
          <w:szCs w:val="24"/>
        </w:rPr>
      </w:pPr>
      <w:r>
        <w:rPr>
          <w:rFonts w:ascii="Times New Roman" w:hAnsi="Times New Roman"/>
          <w:color w:val="212121"/>
          <w:sz w:val="24"/>
          <w:szCs w:val="24"/>
          <w:shd w:val="clear" w:color="auto" w:fill="FFFFFF"/>
        </w:rPr>
        <w:t xml:space="preserve">The </w:t>
      </w:r>
      <w:r w:rsidR="00E00C71">
        <w:rPr>
          <w:rFonts w:ascii="Times New Roman" w:hAnsi="Times New Roman"/>
          <w:color w:val="212121"/>
          <w:sz w:val="24"/>
          <w:szCs w:val="24"/>
          <w:shd w:val="clear" w:color="auto" w:fill="FFFFFF"/>
        </w:rPr>
        <w:t xml:space="preserve">WHD </w:t>
      </w:r>
      <w:r>
        <w:rPr>
          <w:rFonts w:ascii="Times New Roman" w:hAnsi="Times New Roman"/>
          <w:color w:val="212121"/>
          <w:sz w:val="24"/>
          <w:szCs w:val="24"/>
          <w:shd w:val="clear" w:color="auto" w:fill="FFFFFF"/>
        </w:rPr>
        <w:t>has also provided</w:t>
      </w:r>
      <w:r w:rsidR="00E00C71">
        <w:rPr>
          <w:rFonts w:ascii="Times New Roman" w:hAnsi="Times New Roman"/>
          <w:color w:val="212121"/>
          <w:sz w:val="24"/>
          <w:szCs w:val="24"/>
          <w:shd w:val="clear" w:color="auto" w:fill="FFFFFF"/>
        </w:rPr>
        <w:t xml:space="preserve"> additional information on common issues employers and employees face when responding to COVID-19, and its effects on wages and hours worked under the Fair Labor Standards Act and job</w:t>
      </w:r>
      <w:r w:rsidR="00E00C71" w:rsidRPr="00526AE8">
        <w:rPr>
          <w:rFonts w:ascii="Times New Roman" w:hAnsi="Times New Roman"/>
          <w:color w:val="212121"/>
          <w:sz w:val="24"/>
          <w:szCs w:val="24"/>
          <w:shd w:val="clear" w:color="auto" w:fill="FFFFFF"/>
        </w:rPr>
        <w:t xml:space="preserve">-protected leave under the Family and Medical Leave Act at </w:t>
      </w:r>
      <w:hyperlink r:id="rId11" w:history="1">
        <w:r w:rsidR="00E00C71" w:rsidRPr="00526AE8">
          <w:rPr>
            <w:rStyle w:val="Hyperlink"/>
            <w:rFonts w:ascii="Times New Roman" w:hAnsi="Times New Roman"/>
            <w:sz w:val="24"/>
            <w:szCs w:val="24"/>
          </w:rPr>
          <w:t>https://www.dol.gov/agencies/whd/pandemic</w:t>
        </w:r>
      </w:hyperlink>
      <w:r w:rsidR="00E00C71" w:rsidRPr="00526AE8">
        <w:rPr>
          <w:rFonts w:ascii="Times New Roman" w:hAnsi="Times New Roman"/>
          <w:sz w:val="24"/>
          <w:szCs w:val="24"/>
        </w:rPr>
        <w:t>.</w:t>
      </w:r>
    </w:p>
    <w:p w:rsidR="006B2B6A" w:rsidRDefault="006B2B6A" w:rsidP="00526AE8">
      <w:pPr>
        <w:pStyle w:val="NoSpacing"/>
        <w:jc w:val="both"/>
        <w:rPr>
          <w:rFonts w:ascii="Times New Roman" w:hAnsi="Times New Roman"/>
          <w:sz w:val="24"/>
          <w:szCs w:val="24"/>
        </w:rPr>
      </w:pPr>
    </w:p>
    <w:p w:rsidR="006B2B6A" w:rsidRDefault="006B2B6A" w:rsidP="00526AE8">
      <w:pPr>
        <w:pStyle w:val="NoSpacing"/>
        <w:jc w:val="both"/>
        <w:rPr>
          <w:rFonts w:ascii="Times New Roman" w:hAnsi="Times New Roman"/>
          <w:sz w:val="24"/>
          <w:szCs w:val="24"/>
        </w:rPr>
      </w:pPr>
    </w:p>
    <w:p w:rsidR="00526AE8" w:rsidRDefault="00526AE8" w:rsidP="00526AE8">
      <w:pPr>
        <w:pStyle w:val="NoSpacing"/>
        <w:jc w:val="both"/>
        <w:rPr>
          <w:rFonts w:ascii="Times New Roman" w:hAnsi="Times New Roman"/>
          <w:sz w:val="24"/>
          <w:szCs w:val="24"/>
        </w:rPr>
      </w:pPr>
    </w:p>
    <w:p w:rsidR="00526AE8" w:rsidRDefault="00434BF9" w:rsidP="00B247E4">
      <w:pPr>
        <w:pStyle w:val="NoSpacing"/>
        <w:spacing w:line="276" w:lineRule="auto"/>
        <w:ind w:left="720" w:hanging="720"/>
        <w:jc w:val="both"/>
        <w:rPr>
          <w:rFonts w:ascii="Times New Roman" w:hAnsi="Times New Roman"/>
          <w:b/>
          <w:sz w:val="24"/>
          <w:szCs w:val="24"/>
        </w:rPr>
      </w:pPr>
      <w:r w:rsidRPr="00434BF9">
        <w:rPr>
          <w:rFonts w:ascii="Times New Roman" w:hAnsi="Times New Roman"/>
          <w:b/>
          <w:sz w:val="24"/>
          <w:szCs w:val="24"/>
        </w:rPr>
        <w:lastRenderedPageBreak/>
        <w:t xml:space="preserve">3. </w:t>
      </w:r>
      <w:r>
        <w:rPr>
          <w:rFonts w:ascii="Times New Roman" w:hAnsi="Times New Roman"/>
          <w:b/>
          <w:sz w:val="24"/>
          <w:szCs w:val="24"/>
        </w:rPr>
        <w:tab/>
        <w:t>The Internal Revenue Service Provides Information on Tax Credits Created in the Families First Coronavirus Response Act</w:t>
      </w:r>
    </w:p>
    <w:p w:rsidR="00434BF9" w:rsidRDefault="00434BF9" w:rsidP="00B247E4">
      <w:pPr>
        <w:pStyle w:val="NoSpacing"/>
        <w:spacing w:line="276" w:lineRule="auto"/>
        <w:ind w:left="720" w:hanging="720"/>
        <w:jc w:val="both"/>
        <w:rPr>
          <w:rFonts w:ascii="Times New Roman" w:hAnsi="Times New Roman"/>
          <w:b/>
          <w:sz w:val="24"/>
          <w:szCs w:val="24"/>
        </w:rPr>
      </w:pPr>
    </w:p>
    <w:p w:rsidR="00434BF9" w:rsidRPr="00434BF9" w:rsidRDefault="00434BF9" w:rsidP="00B247E4">
      <w:pPr>
        <w:spacing w:line="276" w:lineRule="auto"/>
        <w:rPr>
          <w:rFonts w:ascii="Times New Roman" w:hAnsi="Times New Roman" w:cs="Times New Roman"/>
          <w:sz w:val="24"/>
          <w:szCs w:val="24"/>
        </w:rPr>
      </w:pPr>
      <w:r w:rsidRPr="00434BF9">
        <w:rPr>
          <w:rFonts w:ascii="Times New Roman" w:hAnsi="Times New Roman" w:cs="Times New Roman"/>
          <w:sz w:val="24"/>
          <w:szCs w:val="24"/>
        </w:rPr>
        <w:t xml:space="preserve">The IRS has announced that it is taking immediate steps to implement the FFCRA. It has established a special section focused on steps to help taxpayers, businesses and others affected by the coronavirus. In an effort to provide as much information as possible, the IRS has compiled all of its news releases, statements, and guidance in </w:t>
      </w:r>
      <w:hyperlink r:id="rId12" w:history="1">
        <w:r w:rsidRPr="00434BF9">
          <w:rPr>
            <w:rStyle w:val="Hyperlink"/>
            <w:rFonts w:ascii="Times New Roman" w:hAnsi="Times New Roman" w:cs="Times New Roman"/>
            <w:sz w:val="24"/>
            <w:szCs w:val="24"/>
          </w:rPr>
          <w:t>one place</w:t>
        </w:r>
      </w:hyperlink>
      <w:r w:rsidRPr="00434BF9">
        <w:rPr>
          <w:rFonts w:ascii="Times New Roman" w:hAnsi="Times New Roman" w:cs="Times New Roman"/>
          <w:sz w:val="24"/>
          <w:szCs w:val="24"/>
        </w:rPr>
        <w:t xml:space="preserve"> which will be updated as new information becomes available. </w:t>
      </w:r>
    </w:p>
    <w:p w:rsidR="00FD710A" w:rsidRPr="00434BF9" w:rsidRDefault="00434BF9" w:rsidP="00B247E4">
      <w:pPr>
        <w:spacing w:before="240" w:line="276" w:lineRule="auto"/>
        <w:rPr>
          <w:rFonts w:ascii="Times New Roman" w:hAnsi="Times New Roman" w:cs="Times New Roman"/>
          <w:sz w:val="24"/>
          <w:szCs w:val="24"/>
        </w:rPr>
      </w:pPr>
      <w:r w:rsidRPr="00434BF9">
        <w:rPr>
          <w:rFonts w:ascii="Times New Roman" w:hAnsi="Times New Roman" w:cs="Times New Roman"/>
          <w:sz w:val="24"/>
          <w:szCs w:val="24"/>
        </w:rPr>
        <w:t xml:space="preserve">Additionally, small and midsize employers can begin taking advantage of the payroll tax credits that were established in the FFCRA. The new tax credits created in the FFCRA were designed to fully and promptly reimburse employers, dollar-for-dollar, for the costs of providing COVID-19 related leave to their employees. The IRS has provided information on these new tax credits on their </w:t>
      </w:r>
      <w:hyperlink r:id="rId13" w:history="1">
        <w:r w:rsidRPr="00434BF9">
          <w:rPr>
            <w:rStyle w:val="Hyperlink"/>
            <w:rFonts w:ascii="Times New Roman" w:hAnsi="Times New Roman" w:cs="Times New Roman"/>
            <w:sz w:val="24"/>
            <w:szCs w:val="24"/>
          </w:rPr>
          <w:t>website</w:t>
        </w:r>
      </w:hyperlink>
      <w:r w:rsidRPr="00434BF9">
        <w:rPr>
          <w:rFonts w:ascii="Times New Roman" w:hAnsi="Times New Roman" w:cs="Times New Roman"/>
          <w:sz w:val="24"/>
          <w:szCs w:val="24"/>
        </w:rPr>
        <w:t xml:space="preserve">. </w:t>
      </w:r>
    </w:p>
    <w:p w:rsidR="00434BF9" w:rsidRDefault="00434BF9" w:rsidP="00B247E4">
      <w:pPr>
        <w:spacing w:before="240" w:line="276" w:lineRule="auto"/>
        <w:ind w:left="720" w:hanging="720"/>
        <w:rPr>
          <w:rFonts w:ascii="Times New Roman" w:hAnsi="Times New Roman" w:cs="Times New Roman"/>
          <w:b/>
          <w:sz w:val="24"/>
          <w:szCs w:val="24"/>
        </w:rPr>
      </w:pPr>
      <w:r w:rsidRPr="00434BF9">
        <w:rPr>
          <w:rFonts w:ascii="Times New Roman" w:hAnsi="Times New Roman" w:cs="Times New Roman"/>
          <w:b/>
          <w:sz w:val="24"/>
          <w:szCs w:val="24"/>
        </w:rPr>
        <w:t xml:space="preserve">4. </w:t>
      </w:r>
      <w:r>
        <w:rPr>
          <w:rFonts w:ascii="Times New Roman" w:hAnsi="Times New Roman" w:cs="Times New Roman"/>
          <w:b/>
          <w:sz w:val="24"/>
          <w:szCs w:val="24"/>
        </w:rPr>
        <w:tab/>
        <w:t xml:space="preserve">The United States Department of Transportation Has Issued Guidance Regarding </w:t>
      </w:r>
      <w:r w:rsidR="00FD710A">
        <w:rPr>
          <w:rFonts w:ascii="Times New Roman" w:hAnsi="Times New Roman" w:cs="Times New Roman"/>
          <w:b/>
          <w:sz w:val="24"/>
          <w:szCs w:val="24"/>
        </w:rPr>
        <w:t xml:space="preserve">License </w:t>
      </w:r>
      <w:r>
        <w:rPr>
          <w:rFonts w:ascii="Times New Roman" w:hAnsi="Times New Roman" w:cs="Times New Roman"/>
          <w:b/>
          <w:sz w:val="24"/>
          <w:szCs w:val="24"/>
        </w:rPr>
        <w:t xml:space="preserve">Waivers and Drug-and-Alcohol Testing Compliance </w:t>
      </w:r>
    </w:p>
    <w:p w:rsidR="00434BF9" w:rsidRPr="00434BF9" w:rsidRDefault="00434BF9" w:rsidP="00B247E4">
      <w:pPr>
        <w:spacing w:line="276" w:lineRule="auto"/>
        <w:jc w:val="both"/>
        <w:rPr>
          <w:rFonts w:ascii="Times New Roman" w:hAnsi="Times New Roman" w:cs="Times New Roman"/>
          <w:sz w:val="24"/>
          <w:szCs w:val="24"/>
        </w:rPr>
      </w:pPr>
      <w:r w:rsidRPr="00434BF9">
        <w:rPr>
          <w:rFonts w:ascii="Times New Roman" w:hAnsi="Times New Roman" w:cs="Times New Roman"/>
          <w:sz w:val="24"/>
          <w:szCs w:val="24"/>
        </w:rPr>
        <w:t>The Federal Motor Carrier Safety Administration has issued a</w:t>
      </w:r>
      <w:r w:rsidR="00FD710A">
        <w:rPr>
          <w:rFonts w:ascii="Times New Roman" w:hAnsi="Times New Roman" w:cs="Times New Roman"/>
          <w:sz w:val="24"/>
          <w:szCs w:val="24"/>
        </w:rPr>
        <w:t xml:space="preserve"> temporary waiver for expiring Commercial Learners’ P</w:t>
      </w:r>
      <w:r w:rsidRPr="00434BF9">
        <w:rPr>
          <w:rFonts w:ascii="Times New Roman" w:hAnsi="Times New Roman" w:cs="Times New Roman"/>
          <w:sz w:val="24"/>
          <w:szCs w:val="24"/>
        </w:rPr>
        <w:t>ermits</w:t>
      </w:r>
      <w:r w:rsidR="00FD710A">
        <w:rPr>
          <w:rFonts w:ascii="Times New Roman" w:hAnsi="Times New Roman" w:cs="Times New Roman"/>
          <w:sz w:val="24"/>
          <w:szCs w:val="24"/>
        </w:rPr>
        <w:t xml:space="preserve"> (CLP) and Commercial Drivers’ L</w:t>
      </w:r>
      <w:r w:rsidRPr="00434BF9">
        <w:rPr>
          <w:rFonts w:ascii="Times New Roman" w:hAnsi="Times New Roman" w:cs="Times New Roman"/>
          <w:sz w:val="24"/>
          <w:szCs w:val="24"/>
        </w:rPr>
        <w:t>icenses</w:t>
      </w:r>
      <w:r w:rsidR="00FD710A">
        <w:rPr>
          <w:rFonts w:ascii="Times New Roman" w:hAnsi="Times New Roman" w:cs="Times New Roman"/>
          <w:sz w:val="24"/>
          <w:szCs w:val="24"/>
        </w:rPr>
        <w:t xml:space="preserve"> (CDL)</w:t>
      </w:r>
      <w:r w:rsidRPr="00434BF9">
        <w:rPr>
          <w:rFonts w:ascii="Times New Roman" w:hAnsi="Times New Roman" w:cs="Times New Roman"/>
          <w:sz w:val="24"/>
          <w:szCs w:val="24"/>
        </w:rPr>
        <w:t>. The waiver provides flexibility to CDL and CLP holder</w:t>
      </w:r>
      <w:r w:rsidR="00FD710A">
        <w:rPr>
          <w:rFonts w:ascii="Times New Roman" w:hAnsi="Times New Roman" w:cs="Times New Roman"/>
          <w:sz w:val="24"/>
          <w:szCs w:val="24"/>
        </w:rPr>
        <w:t>s</w:t>
      </w:r>
      <w:r w:rsidRPr="00434BF9">
        <w:rPr>
          <w:rFonts w:ascii="Times New Roman" w:hAnsi="Times New Roman" w:cs="Times New Roman"/>
          <w:sz w:val="24"/>
          <w:szCs w:val="24"/>
        </w:rPr>
        <w:t xml:space="preserve"> who held valid licenses and medical certification</w:t>
      </w:r>
      <w:r w:rsidR="00FD710A">
        <w:rPr>
          <w:rFonts w:ascii="Times New Roman" w:hAnsi="Times New Roman" w:cs="Times New Roman"/>
          <w:sz w:val="24"/>
          <w:szCs w:val="24"/>
        </w:rPr>
        <w:t xml:space="preserve"> on</w:t>
      </w:r>
      <w:r w:rsidRPr="00434BF9">
        <w:rPr>
          <w:rFonts w:ascii="Times New Roman" w:hAnsi="Times New Roman" w:cs="Times New Roman"/>
          <w:sz w:val="24"/>
          <w:szCs w:val="24"/>
        </w:rPr>
        <w:t xml:space="preserve"> February 29, 2020 which expired on or after March 1, 2020. This waiver extends the expiration dates for these licenses and medical c</w:t>
      </w:r>
      <w:r w:rsidR="00FD710A">
        <w:rPr>
          <w:rFonts w:ascii="Times New Roman" w:hAnsi="Times New Roman" w:cs="Times New Roman"/>
          <w:sz w:val="24"/>
          <w:szCs w:val="24"/>
        </w:rPr>
        <w:t>ertification to June 30, 2020. However, t</w:t>
      </w:r>
      <w:r w:rsidRPr="00434BF9">
        <w:rPr>
          <w:rFonts w:ascii="Times New Roman" w:hAnsi="Times New Roman" w:cs="Times New Roman"/>
          <w:sz w:val="24"/>
          <w:szCs w:val="24"/>
        </w:rPr>
        <w:t xml:space="preserve">he waiver does not apply to all medical certifications. Medical certificates originally issued for less than 90 days are not included in this waiver. For more information, please click </w:t>
      </w:r>
      <w:hyperlink r:id="rId14" w:history="1">
        <w:r w:rsidRPr="00434BF9">
          <w:rPr>
            <w:rStyle w:val="Hyperlink"/>
            <w:rFonts w:ascii="Times New Roman" w:hAnsi="Times New Roman" w:cs="Times New Roman"/>
            <w:sz w:val="24"/>
            <w:szCs w:val="24"/>
          </w:rPr>
          <w:t>here</w:t>
        </w:r>
      </w:hyperlink>
      <w:r w:rsidRPr="00434BF9">
        <w:rPr>
          <w:rFonts w:ascii="Times New Roman" w:hAnsi="Times New Roman" w:cs="Times New Roman"/>
          <w:sz w:val="24"/>
          <w:szCs w:val="24"/>
        </w:rPr>
        <w:t xml:space="preserve">. </w:t>
      </w:r>
    </w:p>
    <w:p w:rsidR="00434BF9" w:rsidRDefault="00434BF9" w:rsidP="00B247E4">
      <w:pPr>
        <w:spacing w:line="276" w:lineRule="auto"/>
        <w:jc w:val="both"/>
        <w:rPr>
          <w:rFonts w:ascii="Times New Roman" w:hAnsi="Times New Roman" w:cs="Times New Roman"/>
          <w:sz w:val="24"/>
          <w:szCs w:val="24"/>
        </w:rPr>
      </w:pPr>
      <w:r w:rsidRPr="00434BF9">
        <w:rPr>
          <w:rFonts w:ascii="Times New Roman" w:hAnsi="Times New Roman" w:cs="Times New Roman"/>
          <w:sz w:val="24"/>
          <w:szCs w:val="24"/>
        </w:rPr>
        <w:t xml:space="preserve">The United States Department of Transportation has issued </w:t>
      </w:r>
      <w:hyperlink r:id="rId15" w:history="1">
        <w:r w:rsidRPr="00434BF9">
          <w:rPr>
            <w:rStyle w:val="Hyperlink"/>
            <w:rFonts w:ascii="Times New Roman" w:hAnsi="Times New Roman" w:cs="Times New Roman"/>
            <w:sz w:val="24"/>
            <w:szCs w:val="24"/>
          </w:rPr>
          <w:t>guidance</w:t>
        </w:r>
      </w:hyperlink>
      <w:r w:rsidRPr="00434BF9">
        <w:rPr>
          <w:rFonts w:ascii="Times New Roman" w:hAnsi="Times New Roman" w:cs="Times New Roman"/>
          <w:sz w:val="24"/>
          <w:szCs w:val="24"/>
        </w:rPr>
        <w:t xml:space="preserve"> regarding complying with drug-and-alcohol testing. DOT recognizes that compliance may not always be possible under the circumstances due to unavailability of resources. However, they do want DOT-regulated employers to make a reasonable effort to remain compliant. If employers are unable to conduct drug or alcohol training or testing they must document why a test was not completed. If the reason for the inability to conduct testing is due to the unavailability of resources, DOT makes it clear that the underlying modal regulations still apply. DOT-regulated employers should check their back-up plans to ensure that they are current and effective for the current outbreak conditions. </w:t>
      </w:r>
    </w:p>
    <w:p w:rsidR="00923A96" w:rsidRPr="00923A96" w:rsidRDefault="00923A96" w:rsidP="00B247E4">
      <w:pPr>
        <w:spacing w:line="276" w:lineRule="auto"/>
        <w:ind w:left="720" w:hanging="720"/>
        <w:jc w:val="both"/>
        <w:rPr>
          <w:rFonts w:ascii="Times New Roman" w:hAnsi="Times New Roman" w:cs="Times New Roman"/>
          <w:b/>
          <w:sz w:val="24"/>
          <w:szCs w:val="24"/>
        </w:rPr>
      </w:pPr>
      <w:r w:rsidRPr="00923A96">
        <w:rPr>
          <w:rFonts w:ascii="Times New Roman" w:hAnsi="Times New Roman" w:cs="Times New Roman"/>
          <w:b/>
          <w:sz w:val="24"/>
          <w:szCs w:val="24"/>
        </w:rPr>
        <w:t>5.</w:t>
      </w:r>
      <w:r w:rsidRPr="00923A96">
        <w:rPr>
          <w:rFonts w:ascii="Times New Roman" w:hAnsi="Times New Roman" w:cs="Times New Roman"/>
          <w:b/>
          <w:sz w:val="24"/>
          <w:szCs w:val="24"/>
        </w:rPr>
        <w:tab/>
        <w:t>Governor Ron DeSantis Issued a COVID-19 Emergency Management Executive Order on March 24, 2020</w:t>
      </w:r>
    </w:p>
    <w:p w:rsidR="00FD710A" w:rsidRPr="00B247E4" w:rsidRDefault="00923A96" w:rsidP="00B247E4">
      <w:pPr>
        <w:spacing w:line="276" w:lineRule="auto"/>
        <w:jc w:val="both"/>
        <w:rPr>
          <w:rFonts w:ascii="Times New Roman" w:hAnsi="Times New Roman" w:cs="Times New Roman"/>
          <w:sz w:val="24"/>
          <w:szCs w:val="24"/>
        </w:rPr>
      </w:pPr>
      <w:r>
        <w:rPr>
          <w:rFonts w:ascii="Times New Roman" w:hAnsi="Times New Roman" w:cs="Times New Roman"/>
          <w:sz w:val="24"/>
          <w:szCs w:val="24"/>
        </w:rPr>
        <w:t>On March 24, 2020, Governor DeSantis issued an Executive Order regarding protective measure</w:t>
      </w:r>
      <w:r w:rsidR="00DD59D2">
        <w:rPr>
          <w:rFonts w:ascii="Times New Roman" w:hAnsi="Times New Roman" w:cs="Times New Roman"/>
          <w:sz w:val="24"/>
          <w:szCs w:val="24"/>
        </w:rPr>
        <w:t>s</w:t>
      </w:r>
      <w:r>
        <w:rPr>
          <w:rFonts w:ascii="Times New Roman" w:hAnsi="Times New Roman" w:cs="Times New Roman"/>
          <w:sz w:val="24"/>
          <w:szCs w:val="24"/>
        </w:rPr>
        <w:t xml:space="preserve"> for vulnerable populations, gatherings of private citizens and de</w:t>
      </w:r>
      <w:r w:rsidR="00FD710A">
        <w:rPr>
          <w:rFonts w:ascii="Times New Roman" w:hAnsi="Times New Roman" w:cs="Times New Roman"/>
          <w:sz w:val="24"/>
          <w:szCs w:val="24"/>
        </w:rPr>
        <w:t>nsity of the workforce. In his O</w:t>
      </w:r>
      <w:r w:rsidR="00DD59D2">
        <w:rPr>
          <w:rFonts w:ascii="Times New Roman" w:hAnsi="Times New Roman" w:cs="Times New Roman"/>
          <w:sz w:val="24"/>
          <w:szCs w:val="24"/>
        </w:rPr>
        <w:t>rder he directed</w:t>
      </w:r>
      <w:r>
        <w:rPr>
          <w:rFonts w:ascii="Times New Roman" w:hAnsi="Times New Roman" w:cs="Times New Roman"/>
          <w:sz w:val="24"/>
          <w:szCs w:val="24"/>
        </w:rPr>
        <w:t xml:space="preserve"> the Surgeon General and State Health Officer to issue public health advisories to all person over the age of 65 and all person</w:t>
      </w:r>
      <w:r w:rsidR="00FD710A">
        <w:rPr>
          <w:rFonts w:ascii="Times New Roman" w:hAnsi="Times New Roman" w:cs="Times New Roman"/>
          <w:sz w:val="24"/>
          <w:szCs w:val="24"/>
        </w:rPr>
        <w:t>s</w:t>
      </w:r>
      <w:r>
        <w:rPr>
          <w:rFonts w:ascii="Times New Roman" w:hAnsi="Times New Roman" w:cs="Times New Roman"/>
          <w:sz w:val="24"/>
          <w:szCs w:val="24"/>
        </w:rPr>
        <w:t xml:space="preserve"> with underlying medical conditions </w:t>
      </w:r>
      <w:r>
        <w:rPr>
          <w:rFonts w:ascii="Times New Roman" w:hAnsi="Times New Roman" w:cs="Times New Roman"/>
          <w:sz w:val="24"/>
          <w:szCs w:val="24"/>
        </w:rPr>
        <w:lastRenderedPageBreak/>
        <w:t xml:space="preserve">that place them at a high risk of severe illness from COVID-19 to stay at home. His executive order does not constitute a rule. To read his Order, click </w:t>
      </w:r>
      <w:hyperlink r:id="rId16" w:history="1">
        <w:r w:rsidRPr="00923A96">
          <w:rPr>
            <w:rStyle w:val="Hyperlink"/>
            <w:rFonts w:ascii="Times New Roman" w:hAnsi="Times New Roman" w:cs="Times New Roman"/>
            <w:sz w:val="24"/>
            <w:szCs w:val="24"/>
          </w:rPr>
          <w:t>here</w:t>
        </w:r>
      </w:hyperlink>
      <w:r w:rsidR="00C858D0">
        <w:rPr>
          <w:rFonts w:ascii="Times New Roman" w:hAnsi="Times New Roman" w:cs="Times New Roman"/>
          <w:sz w:val="24"/>
          <w:szCs w:val="24"/>
        </w:rPr>
        <w:t>.</w:t>
      </w:r>
    </w:p>
    <w:p w:rsidR="00AF5B10" w:rsidRDefault="00AF5B10" w:rsidP="00AF5B10">
      <w:pPr>
        <w:pStyle w:val="rtejustify"/>
        <w:shd w:val="clear" w:color="auto" w:fill="FFFFFF"/>
        <w:spacing w:before="150" w:beforeAutospacing="0" w:after="150" w:afterAutospacing="0" w:line="270" w:lineRule="atLeast"/>
        <w:jc w:val="center"/>
        <w:rPr>
          <w:b/>
          <w:bCs/>
          <w:i/>
          <w:iCs/>
          <w:color w:val="000000"/>
        </w:rPr>
      </w:pPr>
      <w:r w:rsidRPr="00AF5B10">
        <w:rPr>
          <w:b/>
          <w:bCs/>
          <w:i/>
          <w:iCs/>
          <w:color w:val="000000"/>
        </w:rPr>
        <w:t>A Special Note to our Clients and Friends</w:t>
      </w:r>
    </w:p>
    <w:p w:rsidR="004B7C25" w:rsidRDefault="004B7C25" w:rsidP="004B7C25">
      <w:pPr>
        <w:pStyle w:val="rtejustify"/>
        <w:shd w:val="clear" w:color="auto" w:fill="FFFFFF"/>
        <w:spacing w:before="150" w:beforeAutospacing="0" w:after="150" w:afterAutospacing="0" w:line="270" w:lineRule="atLeast"/>
        <w:jc w:val="both"/>
        <w:rPr>
          <w:color w:val="000000"/>
        </w:rPr>
      </w:pPr>
      <w:r>
        <w:rPr>
          <w:color w:val="000000"/>
        </w:rPr>
        <w:t xml:space="preserve">Sniffen and Spellman prides itself on being accessible to our clients. Our core principles are, and always have been: Strength; Experience; Commitment and Agility. </w:t>
      </w:r>
    </w:p>
    <w:p w:rsidR="00AF5B10" w:rsidRPr="00AF5B10" w:rsidRDefault="004B7C25" w:rsidP="00AF5B10">
      <w:pPr>
        <w:pStyle w:val="rtejustify"/>
        <w:shd w:val="clear" w:color="auto" w:fill="FFFFFF"/>
        <w:spacing w:before="150" w:beforeAutospacing="0" w:after="150" w:afterAutospacing="0" w:line="270" w:lineRule="atLeast"/>
        <w:jc w:val="both"/>
        <w:rPr>
          <w:color w:val="000000"/>
        </w:rPr>
      </w:pPr>
      <w:r>
        <w:rPr>
          <w:color w:val="000000"/>
        </w:rPr>
        <w:t>It is in this spirit that we will continue to provide timely and responsive advice to our clients. We commit to our clients to provide continuous service to our clients during the COVID-19 pandemic. We recognize that this pandemic and the amount of information on new laws, reforms, and compliance measures may create more questions than answers. Our Firm will remain accessible to its clients to provide complete, up to date, and timely advice and guidance by phone and through electronic means, and ha</w:t>
      </w:r>
      <w:r w:rsidR="006279A4">
        <w:rPr>
          <w:color w:val="000000"/>
        </w:rPr>
        <w:t>s</w:t>
      </w:r>
      <w:r>
        <w:rPr>
          <w:color w:val="000000"/>
        </w:rPr>
        <w:t xml:space="preserve"> taken steps to ensure that we will available 24/7 to assist our clients.</w:t>
      </w:r>
    </w:p>
    <w:sectPr w:rsidR="00AF5B10" w:rsidRPr="00AF5B10" w:rsidSect="00AD5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16A08"/>
    <w:multiLevelType w:val="hybridMultilevel"/>
    <w:tmpl w:val="ECD8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15B92"/>
    <w:multiLevelType w:val="multilevel"/>
    <w:tmpl w:val="4DA2A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A4EB5"/>
    <w:multiLevelType w:val="hybridMultilevel"/>
    <w:tmpl w:val="798A3394"/>
    <w:lvl w:ilvl="0" w:tplc="04090001">
      <w:start w:val="1"/>
      <w:numFmt w:val="bullet"/>
      <w:lvlText w:val=""/>
      <w:lvlJc w:val="left"/>
      <w:pPr>
        <w:ind w:left="720" w:hanging="360"/>
      </w:pPr>
      <w:rPr>
        <w:rFonts w:ascii="Symbol" w:hAnsi="Symbol" w:hint="default"/>
      </w:rPr>
    </w:lvl>
    <w:lvl w:ilvl="1" w:tplc="0F741ECE">
      <w:start w:val="1"/>
      <w:numFmt w:val="decimal"/>
      <w:lvlText w:val="%2."/>
      <w:lvlJc w:val="left"/>
      <w:pPr>
        <w:ind w:left="1440" w:hanging="360"/>
      </w:pPr>
      <w:rPr>
        <w:rFonts w:hint="default"/>
        <w:b w:val="0"/>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C3094"/>
    <w:multiLevelType w:val="hybridMultilevel"/>
    <w:tmpl w:val="ACEA2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A4944"/>
    <w:rsid w:val="00091D1F"/>
    <w:rsid w:val="00330E03"/>
    <w:rsid w:val="003357E0"/>
    <w:rsid w:val="003553E5"/>
    <w:rsid w:val="00413E87"/>
    <w:rsid w:val="00434BF9"/>
    <w:rsid w:val="00450D7C"/>
    <w:rsid w:val="004B7C25"/>
    <w:rsid w:val="00526AE8"/>
    <w:rsid w:val="005B6629"/>
    <w:rsid w:val="005C0FCE"/>
    <w:rsid w:val="00624B85"/>
    <w:rsid w:val="006279A4"/>
    <w:rsid w:val="00667F94"/>
    <w:rsid w:val="006B2B6A"/>
    <w:rsid w:val="008D244C"/>
    <w:rsid w:val="00923A96"/>
    <w:rsid w:val="00A51306"/>
    <w:rsid w:val="00AD5DBA"/>
    <w:rsid w:val="00AE5F34"/>
    <w:rsid w:val="00AF5B10"/>
    <w:rsid w:val="00B247E4"/>
    <w:rsid w:val="00BE7D3B"/>
    <w:rsid w:val="00BF7337"/>
    <w:rsid w:val="00C66167"/>
    <w:rsid w:val="00C858D0"/>
    <w:rsid w:val="00DD59D2"/>
    <w:rsid w:val="00E00C71"/>
    <w:rsid w:val="00E74783"/>
    <w:rsid w:val="00FA4944"/>
    <w:rsid w:val="00FD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B11D"/>
  <w15:docId w15:val="{288074EA-5DD6-48EE-ACB9-5E859862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FA494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A4944"/>
    <w:rPr>
      <w:b/>
      <w:bCs/>
    </w:rPr>
  </w:style>
  <w:style w:type="character" w:styleId="Hyperlink">
    <w:name w:val="Hyperlink"/>
    <w:basedOn w:val="DefaultParagraphFont"/>
    <w:uiPriority w:val="99"/>
    <w:unhideWhenUsed/>
    <w:rsid w:val="00FA4944"/>
    <w:rPr>
      <w:color w:val="0563C1" w:themeColor="hyperlink"/>
      <w:u w:val="single"/>
    </w:rPr>
  </w:style>
  <w:style w:type="character" w:styleId="FollowedHyperlink">
    <w:name w:val="FollowedHyperlink"/>
    <w:basedOn w:val="DefaultParagraphFont"/>
    <w:uiPriority w:val="99"/>
    <w:semiHidden/>
    <w:unhideWhenUsed/>
    <w:rsid w:val="00FA4944"/>
    <w:rPr>
      <w:color w:val="954F72" w:themeColor="followedHyperlink"/>
      <w:u w:val="single"/>
    </w:rPr>
  </w:style>
  <w:style w:type="paragraph" w:styleId="ListParagraph">
    <w:name w:val="List Paragraph"/>
    <w:basedOn w:val="Normal"/>
    <w:uiPriority w:val="34"/>
    <w:qFormat/>
    <w:rsid w:val="00C66167"/>
    <w:pPr>
      <w:ind w:left="720"/>
      <w:contextualSpacing/>
    </w:pPr>
  </w:style>
  <w:style w:type="character" w:customStyle="1" w:styleId="UnresolvedMention1">
    <w:name w:val="Unresolved Mention1"/>
    <w:basedOn w:val="DefaultParagraphFont"/>
    <w:uiPriority w:val="99"/>
    <w:semiHidden/>
    <w:unhideWhenUsed/>
    <w:rsid w:val="00AF5B10"/>
    <w:rPr>
      <w:color w:val="605E5C"/>
      <w:shd w:val="clear" w:color="auto" w:fill="E1DFDD"/>
    </w:rPr>
  </w:style>
  <w:style w:type="paragraph" w:styleId="BalloonText">
    <w:name w:val="Balloon Text"/>
    <w:basedOn w:val="Normal"/>
    <w:link w:val="BalloonTextChar"/>
    <w:uiPriority w:val="99"/>
    <w:semiHidden/>
    <w:unhideWhenUsed/>
    <w:rsid w:val="0009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1F"/>
    <w:rPr>
      <w:rFonts w:ascii="Segoe UI" w:hAnsi="Segoe UI" w:cs="Segoe UI"/>
      <w:sz w:val="18"/>
      <w:szCs w:val="18"/>
    </w:rPr>
  </w:style>
  <w:style w:type="paragraph" w:styleId="NoSpacing">
    <w:name w:val="No Spacing"/>
    <w:basedOn w:val="Normal"/>
    <w:uiPriority w:val="1"/>
    <w:qFormat/>
    <w:rsid w:val="00A5130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1611">
      <w:bodyDiv w:val="1"/>
      <w:marLeft w:val="0"/>
      <w:marRight w:val="0"/>
      <w:marTop w:val="0"/>
      <w:marBottom w:val="0"/>
      <w:divBdr>
        <w:top w:val="none" w:sz="0" w:space="0" w:color="auto"/>
        <w:left w:val="none" w:sz="0" w:space="0" w:color="auto"/>
        <w:bottom w:val="none" w:sz="0" w:space="0" w:color="auto"/>
        <w:right w:val="none" w:sz="0" w:space="0" w:color="auto"/>
      </w:divBdr>
    </w:div>
    <w:div w:id="562108522">
      <w:bodyDiv w:val="1"/>
      <w:marLeft w:val="0"/>
      <w:marRight w:val="0"/>
      <w:marTop w:val="0"/>
      <w:marBottom w:val="0"/>
      <w:divBdr>
        <w:top w:val="none" w:sz="0" w:space="0" w:color="auto"/>
        <w:left w:val="none" w:sz="0" w:space="0" w:color="auto"/>
        <w:bottom w:val="none" w:sz="0" w:space="0" w:color="auto"/>
        <w:right w:val="none" w:sz="0" w:space="0" w:color="auto"/>
      </w:divBdr>
    </w:div>
    <w:div w:id="1080327078">
      <w:bodyDiv w:val="1"/>
      <w:marLeft w:val="0"/>
      <w:marRight w:val="0"/>
      <w:marTop w:val="0"/>
      <w:marBottom w:val="0"/>
      <w:divBdr>
        <w:top w:val="none" w:sz="0" w:space="0" w:color="auto"/>
        <w:left w:val="none" w:sz="0" w:space="0" w:color="auto"/>
        <w:bottom w:val="none" w:sz="0" w:space="0" w:color="auto"/>
        <w:right w:val="none" w:sz="0" w:space="0" w:color="auto"/>
      </w:divBdr>
    </w:div>
    <w:div w:id="1569614809">
      <w:bodyDiv w:val="1"/>
      <w:marLeft w:val="0"/>
      <w:marRight w:val="0"/>
      <w:marTop w:val="0"/>
      <w:marBottom w:val="0"/>
      <w:divBdr>
        <w:top w:val="none" w:sz="0" w:space="0" w:color="auto"/>
        <w:left w:val="none" w:sz="0" w:space="0" w:color="auto"/>
        <w:bottom w:val="none" w:sz="0" w:space="0" w:color="auto"/>
        <w:right w:val="none" w:sz="0" w:space="0" w:color="auto"/>
      </w:divBdr>
    </w:div>
    <w:div w:id="1608855915">
      <w:bodyDiv w:val="1"/>
      <w:marLeft w:val="0"/>
      <w:marRight w:val="0"/>
      <w:marTop w:val="0"/>
      <w:marBottom w:val="0"/>
      <w:divBdr>
        <w:top w:val="none" w:sz="0" w:space="0" w:color="auto"/>
        <w:left w:val="none" w:sz="0" w:space="0" w:color="auto"/>
        <w:bottom w:val="none" w:sz="0" w:space="0" w:color="auto"/>
        <w:right w:val="none" w:sz="0" w:space="0" w:color="auto"/>
      </w:divBdr>
    </w:div>
    <w:div w:id="1885874125">
      <w:bodyDiv w:val="1"/>
      <w:marLeft w:val="0"/>
      <w:marRight w:val="0"/>
      <w:marTop w:val="0"/>
      <w:marBottom w:val="0"/>
      <w:divBdr>
        <w:top w:val="none" w:sz="0" w:space="0" w:color="auto"/>
        <w:left w:val="none" w:sz="0" w:space="0" w:color="auto"/>
        <w:bottom w:val="none" w:sz="0" w:space="0" w:color="auto"/>
        <w:right w:val="none" w:sz="0" w:space="0" w:color="auto"/>
      </w:divBdr>
    </w:div>
    <w:div w:id="19602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whd/pandemic/ffcra-employer-paid-leave" TargetMode="External"/><Relationship Id="rId13" Type="http://schemas.openxmlformats.org/officeDocument/2006/relationships/hyperlink" Target="https://www.irs.gov/newsroom/treasury-irs-and-labor-announce-plan-to-implement-coronavirus-related-paid-leave-for-workers-and-tax-credits-for-small-and-midsize-businesses-to-swiftly-recover-the-cost-of-providing-coronavir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l.gov/agencies/whd/pandemic/ffcra-employee-paid-leave" TargetMode="External"/><Relationship Id="rId12" Type="http://schemas.openxmlformats.org/officeDocument/2006/relationships/hyperlink" Target="https://www.irs.gov/coronavir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lgov.com/wp-content/uploads/orders/2020/EO_20-83.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dol.gov/agencies/whd/pandemic" TargetMode="External"/><Relationship Id="rId5" Type="http://schemas.openxmlformats.org/officeDocument/2006/relationships/hyperlink" Target="http://www.sniffenlaw.com/" TargetMode="External"/><Relationship Id="rId15" Type="http://schemas.openxmlformats.org/officeDocument/2006/relationships/hyperlink" Target="https://www.transportation.gov/odapc/compliance-with-dot-drug-and-alcohol-testing-regulations" TargetMode="External"/><Relationship Id="rId10" Type="http://schemas.openxmlformats.org/officeDocument/2006/relationships/hyperlink" Target="https://www.dol.gov/sites/dolgov/files/WHD/posters/FFCRA_Poster_WH1422_Non-Federal.pdf" TargetMode="External"/><Relationship Id="rId4" Type="http://schemas.openxmlformats.org/officeDocument/2006/relationships/webSettings" Target="webSettings.xml"/><Relationship Id="rId9" Type="http://schemas.openxmlformats.org/officeDocument/2006/relationships/hyperlink" Target="https://www.dol.gov/agencies/whd/pandemic/ffcra-questions" TargetMode="External"/><Relationship Id="rId14" Type="http://schemas.openxmlformats.org/officeDocument/2006/relationships/hyperlink" Target="https://www.trucking.org/news-insights/ata-thanks-department-transportation-acting-ease-burdens-dri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Slanker</dc:creator>
  <cp:lastModifiedBy>Robert J. Sniffen</cp:lastModifiedBy>
  <cp:revision>14</cp:revision>
  <cp:lastPrinted>2020-03-26T16:16:00Z</cp:lastPrinted>
  <dcterms:created xsi:type="dcterms:W3CDTF">2020-03-25T05:57:00Z</dcterms:created>
  <dcterms:modified xsi:type="dcterms:W3CDTF">2020-03-27T15:56:00Z</dcterms:modified>
</cp:coreProperties>
</file>